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RENCANA OPERASIONAL</w:t>
      </w:r>
    </w:p>
    <w:p>
      <w:pPr>
        <w:jc w:val="center"/>
      </w:pPr>
      <w:r>
        <w:rPr>
          <w:rFonts w:ascii="Arial" w:hAnsi="Arial"/>
          <w:b/>
          <w:sz w:val="32"/>
        </w:rPr>
        <w:t>BIRO ADMINISTRASI UMUM DAN KEUANGAN</w:t>
      </w:r>
    </w:p>
    <w:p>
      <w:pPr>
        <w:jc w:val="center"/>
      </w:pPr>
      <w:r>
        <w:rPr>
          <w:rFonts w:ascii="Arial" w:hAnsi="Arial"/>
          <w:b/>
          <w:sz w:val="28"/>
        </w:rPr>
        <w:t>STAI HAJI AGUS SALIM CIKARANG BEKASI</w:t>
      </w:r>
    </w:p>
    <w:p>
      <w:pPr>
        <w:jc w:val="center"/>
      </w:pPr>
      <w:r>
        <w:rPr>
          <w:rFonts w:ascii="Arial" w:hAnsi="Arial"/>
          <w:b/>
          <w:sz w:val="26"/>
        </w:rPr>
        <w:t>TAHUN AKADEMIK 2024–2025</w:t>
      </w:r>
    </w:p>
    <w:p/>
    <w:p>
      <w:pPr>
        <w:jc w:val="center"/>
      </w:pPr>
      <w:r>
        <w:drawing>
          <wp:inline xmlns:a="http://schemas.openxmlformats.org/drawingml/2006/main" xmlns:pic="http://schemas.openxmlformats.org/drawingml/2006/picture">
            <wp:extent cx="1872000" cy="1872000"/>
            <wp:docPr id="1" name="Picture 1"/>
            <wp:cNvGraphicFramePr>
              <a:graphicFrameLocks noChangeAspect="1"/>
            </wp:cNvGraphicFramePr>
            <a:graphic>
              <a:graphicData uri="http://schemas.openxmlformats.org/drawingml/2006/picture">
                <pic:pic>
                  <pic:nvPicPr>
                    <pic:cNvPr id="0" name="a_clean_png_style_isolated_emblem_logo_on_a_transp_1.png"/>
                    <pic:cNvPicPr/>
                  </pic:nvPicPr>
                  <pic:blipFill>
                    <a:blip r:embed="rId9"/>
                    <a:stretch>
                      <a:fillRect/>
                    </a:stretch>
                  </pic:blipFill>
                  <pic:spPr>
                    <a:xfrm>
                      <a:off x="0" y="0"/>
                      <a:ext cx="1872000" cy="1872000"/>
                    </a:xfrm>
                    <a:prstGeom prst="rect"/>
                  </pic:spPr>
                </pic:pic>
              </a:graphicData>
            </a:graphic>
          </wp:inline>
        </w:drawing>
      </w:r>
    </w:p>
    <w:p/>
    <w:p>
      <w:pPr>
        <w:jc w:val="center"/>
      </w:pPr>
      <w:r>
        <w:rPr>
          <w:rFonts w:ascii="Arial" w:hAnsi="Arial"/>
          <w:b/>
          <w:sz w:val="22"/>
        </w:rPr>
        <w:t>Dokumen Turunan dari RENOP Institusi TA 2024–2025</w:t>
      </w:r>
    </w:p>
    <w:p>
      <w:pPr>
        <w:jc w:val="center"/>
      </w:pPr>
      <w:r>
        <w:rPr>
          <w:rFonts w:ascii="Arial" w:hAnsi="Arial"/>
          <w:b w:val="0"/>
          <w:sz w:val="21"/>
        </w:rPr>
        <w:t>Untuk Sinkronisasi RKAT, SPMI, Tata Kelola Keuangan, dan Akreditasi Institusi</w:t>
      </w:r>
    </w:p>
    <w:p/>
    <w:tbl>
      <w:tblPr>
        <w:tblStyle w:val="TableGrid"/>
        <w:tblW w:type="auto" w:w="0"/>
        <w:jc w:val="center"/>
        <w:tblLook w:firstColumn="1" w:firstRow="1" w:lastColumn="0" w:lastRow="0" w:noHBand="0" w:noVBand="1" w:val="04A0"/>
      </w:tblPr>
      <w:tblGrid>
        <w:gridCol w:w="4844"/>
        <w:gridCol w:w="4844"/>
      </w:tblGrid>
      <w:tr>
        <w:tc>
          <w:tcPr>
            <w:tcW w:type="dxa" w:w="4844"/>
            <w:vAlign w:val="center"/>
            <w:shd w:fill="D9EAF7"/>
          </w:tcPr>
          <w:p>
            <w:pPr>
              <w:jc w:val="center"/>
            </w:pPr>
            <w:r/>
            <w:r>
              <w:rPr>
                <w:rFonts w:ascii="Arial" w:hAnsi="Arial"/>
                <w:b/>
                <w:sz w:val="17"/>
              </w:rPr>
              <w:t>Identitas Dokumen</w:t>
            </w:r>
          </w:p>
        </w:tc>
        <w:tc>
          <w:tcPr>
            <w:tcW w:type="dxa" w:w="4844"/>
            <w:vAlign w:val="center"/>
            <w:shd w:fill="D9EAF7"/>
          </w:tcPr>
          <w:p>
            <w:pPr>
              <w:jc w:val="center"/>
            </w:pPr>
            <w:r/>
            <w:r>
              <w:rPr>
                <w:rFonts w:ascii="Arial" w:hAnsi="Arial"/>
                <w:b/>
                <w:sz w:val="17"/>
              </w:rPr>
              <w:t>Keterangan</w:t>
            </w:r>
          </w:p>
        </w:tc>
      </w:tr>
      <w:tr>
        <w:tc>
          <w:tcPr>
            <w:tcW w:type="dxa" w:w="4844"/>
            <w:vAlign w:val="center"/>
          </w:tcPr>
          <w:p>
            <w:pPr>
              <w:jc w:val="left"/>
            </w:pPr>
            <w:r/>
            <w:r>
              <w:rPr>
                <w:rFonts w:ascii="Arial" w:hAnsi="Arial"/>
                <w:b w:val="0"/>
                <w:sz w:val="17"/>
              </w:rPr>
              <w:t>Nama Dokumen</w:t>
            </w:r>
          </w:p>
        </w:tc>
        <w:tc>
          <w:tcPr>
            <w:tcW w:type="dxa" w:w="4844"/>
            <w:vAlign w:val="center"/>
          </w:tcPr>
          <w:p>
            <w:pPr>
              <w:jc w:val="left"/>
            </w:pPr>
            <w:r/>
            <w:r>
              <w:rPr>
                <w:rFonts w:ascii="Arial" w:hAnsi="Arial"/>
                <w:b w:val="0"/>
                <w:sz w:val="17"/>
              </w:rPr>
              <w:t>Rencana Operasional BAUK STAI Haji Agus Salim Cikarang Bekasi</w:t>
            </w:r>
          </w:p>
        </w:tc>
      </w:tr>
      <w:tr>
        <w:tc>
          <w:tcPr>
            <w:tcW w:type="dxa" w:w="4844"/>
            <w:vAlign w:val="center"/>
          </w:tcPr>
          <w:p>
            <w:pPr>
              <w:jc w:val="left"/>
            </w:pPr>
            <w:r/>
            <w:r>
              <w:rPr>
                <w:rFonts w:ascii="Arial" w:hAnsi="Arial"/>
                <w:b w:val="0"/>
                <w:sz w:val="17"/>
              </w:rPr>
              <w:t>Periode</w:t>
            </w:r>
          </w:p>
        </w:tc>
        <w:tc>
          <w:tcPr>
            <w:tcW w:type="dxa" w:w="4844"/>
            <w:vAlign w:val="center"/>
          </w:tcPr>
          <w:p>
            <w:pPr>
              <w:jc w:val="left"/>
            </w:pPr>
            <w:r/>
            <w:r>
              <w:rPr>
                <w:rFonts w:ascii="Arial" w:hAnsi="Arial"/>
                <w:b w:val="0"/>
                <w:sz w:val="17"/>
              </w:rPr>
              <w:t>Tahun Akademik 2024–2025</w:t>
            </w:r>
          </w:p>
        </w:tc>
      </w:tr>
      <w:tr>
        <w:tc>
          <w:tcPr>
            <w:tcW w:type="dxa" w:w="4844"/>
            <w:vAlign w:val="center"/>
          </w:tcPr>
          <w:p>
            <w:pPr>
              <w:jc w:val="left"/>
            </w:pPr>
            <w:r/>
            <w:r>
              <w:rPr>
                <w:rFonts w:ascii="Arial" w:hAnsi="Arial"/>
                <w:b w:val="0"/>
                <w:sz w:val="17"/>
              </w:rPr>
              <w:t>Dasar Penyusunan</w:t>
            </w:r>
          </w:p>
        </w:tc>
        <w:tc>
          <w:tcPr>
            <w:tcW w:type="dxa" w:w="4844"/>
            <w:vAlign w:val="center"/>
          </w:tcPr>
          <w:p>
            <w:pPr>
              <w:jc w:val="left"/>
            </w:pPr>
            <w:r/>
            <w:r>
              <w:rPr>
                <w:rFonts w:ascii="Arial" w:hAnsi="Arial"/>
                <w:b w:val="0"/>
                <w:sz w:val="17"/>
              </w:rPr>
              <w:t>RENOP STAI Haji Agus Salim Cikarang Bekasi TA 2024–2025</w:t>
            </w:r>
          </w:p>
        </w:tc>
      </w:tr>
      <w:tr>
        <w:tc>
          <w:tcPr>
            <w:tcW w:type="dxa" w:w="4844"/>
            <w:vAlign w:val="center"/>
          </w:tcPr>
          <w:p>
            <w:pPr>
              <w:jc w:val="left"/>
            </w:pPr>
            <w:r/>
            <w:r>
              <w:rPr>
                <w:rFonts w:ascii="Arial" w:hAnsi="Arial"/>
                <w:b w:val="0"/>
                <w:sz w:val="17"/>
              </w:rPr>
              <w:t>Unit Penanggung Jawab</w:t>
            </w:r>
          </w:p>
        </w:tc>
        <w:tc>
          <w:tcPr>
            <w:tcW w:type="dxa" w:w="4844"/>
            <w:vAlign w:val="center"/>
          </w:tcPr>
          <w:p>
            <w:pPr>
              <w:jc w:val="left"/>
            </w:pPr>
            <w:r/>
            <w:r>
              <w:rPr>
                <w:rFonts w:ascii="Arial" w:hAnsi="Arial"/>
                <w:b w:val="0"/>
                <w:sz w:val="17"/>
              </w:rPr>
              <w:t>Biro Administrasi Umum dan Keuangan</w:t>
            </w:r>
          </w:p>
        </w:tc>
      </w:tr>
      <w:tr>
        <w:tc>
          <w:tcPr>
            <w:tcW w:type="dxa" w:w="4844"/>
            <w:vAlign w:val="center"/>
          </w:tcPr>
          <w:p>
            <w:pPr>
              <w:jc w:val="left"/>
            </w:pPr>
            <w:r/>
            <w:r>
              <w:rPr>
                <w:rFonts w:ascii="Arial" w:hAnsi="Arial"/>
                <w:b w:val="0"/>
                <w:sz w:val="17"/>
              </w:rPr>
              <w:t>Kepala BAUK</w:t>
            </w:r>
          </w:p>
        </w:tc>
        <w:tc>
          <w:tcPr>
            <w:tcW w:type="dxa" w:w="4844"/>
            <w:vAlign w:val="center"/>
          </w:tcPr>
          <w:p>
            <w:pPr>
              <w:jc w:val="left"/>
            </w:pPr>
            <w:r/>
            <w:r>
              <w:rPr>
                <w:rFonts w:ascii="Arial" w:hAnsi="Arial"/>
                <w:b w:val="0"/>
                <w:sz w:val="17"/>
              </w:rPr>
              <w:t>Dr. Titi Hendrawati, S.Pd.I., M.Pd.</w:t>
            </w:r>
          </w:p>
        </w:tc>
      </w:tr>
      <w:tr>
        <w:tc>
          <w:tcPr>
            <w:tcW w:type="dxa" w:w="4844"/>
            <w:vAlign w:val="center"/>
          </w:tcPr>
          <w:p>
            <w:pPr>
              <w:jc w:val="left"/>
            </w:pPr>
            <w:r/>
            <w:r>
              <w:rPr>
                <w:rFonts w:ascii="Arial" w:hAnsi="Arial"/>
                <w:b w:val="0"/>
                <w:sz w:val="17"/>
              </w:rPr>
              <w:t>Wakil Ketua Bidang Keuangan</w:t>
            </w:r>
          </w:p>
        </w:tc>
        <w:tc>
          <w:tcPr>
            <w:tcW w:type="dxa" w:w="4844"/>
            <w:vAlign w:val="center"/>
          </w:tcPr>
          <w:p>
            <w:pPr>
              <w:jc w:val="left"/>
            </w:pPr>
            <w:r/>
            <w:r>
              <w:rPr>
                <w:rFonts w:ascii="Arial" w:hAnsi="Arial"/>
                <w:b w:val="0"/>
                <w:sz w:val="17"/>
              </w:rPr>
              <w:t>Dr. Hj. Siti Ropiah, S.H., M.Hum.</w:t>
            </w:r>
          </w:p>
        </w:tc>
      </w:tr>
      <w:tr>
        <w:tc>
          <w:tcPr>
            <w:tcW w:type="dxa" w:w="4844"/>
            <w:vAlign w:val="center"/>
          </w:tcPr>
          <w:p>
            <w:pPr>
              <w:jc w:val="left"/>
            </w:pPr>
            <w:r/>
            <w:r>
              <w:rPr>
                <w:rFonts w:ascii="Arial" w:hAnsi="Arial"/>
                <w:b w:val="0"/>
                <w:sz w:val="17"/>
              </w:rPr>
              <w:t>Ketua STAI Haji Agus Salim</w:t>
            </w:r>
          </w:p>
        </w:tc>
        <w:tc>
          <w:tcPr>
            <w:tcW w:type="dxa" w:w="4844"/>
            <w:vAlign w:val="center"/>
          </w:tcPr>
          <w:p>
            <w:pPr>
              <w:jc w:val="left"/>
            </w:pPr>
            <w:r/>
            <w:r>
              <w:rPr>
                <w:rFonts w:ascii="Arial" w:hAnsi="Arial"/>
                <w:b w:val="0"/>
                <w:sz w:val="17"/>
              </w:rPr>
              <w:t>Drs. H. Solihin Sari, M.Si.</w:t>
            </w:r>
          </w:p>
        </w:tc>
      </w:tr>
      <w:tr>
        <w:tc>
          <w:tcPr>
            <w:tcW w:type="dxa" w:w="4844"/>
            <w:vAlign w:val="center"/>
          </w:tcPr>
          <w:p>
            <w:pPr>
              <w:jc w:val="left"/>
            </w:pPr>
            <w:r/>
            <w:r>
              <w:rPr>
                <w:rFonts w:ascii="Arial" w:hAnsi="Arial"/>
                <w:b w:val="0"/>
                <w:sz w:val="17"/>
              </w:rPr>
              <w:t>Status</w:t>
            </w:r>
          </w:p>
        </w:tc>
        <w:tc>
          <w:tcPr>
            <w:tcW w:type="dxa" w:w="4844"/>
            <w:vAlign w:val="center"/>
          </w:tcPr>
          <w:p>
            <w:pPr>
              <w:jc w:val="left"/>
            </w:pPr>
            <w:r/>
            <w:r>
              <w:rPr>
                <w:rFonts w:ascii="Arial" w:hAnsi="Arial"/>
                <w:b w:val="0"/>
                <w:sz w:val="17"/>
              </w:rPr>
              <w:t>Draf penguatan RENOP BAUK untuk ditetapkan sesuai kewenangan institusi</w:t>
            </w:r>
          </w:p>
        </w:tc>
      </w:tr>
    </w:tbl>
    <w:p/>
    <w:p>
      <w:pPr>
        <w:jc w:val="both"/>
      </w:pPr>
      <w:r>
        <w:rPr>
          <w:i/>
        </w:rPr>
        <w:t>Catatan: RENOP BAUK ini merupakan dokumen turunan dan penguatan operasional unit BAUK. Dokumen ini tidak menggantikan RENOP institusi TA 2024–2025, tetapi menjabarkan peran BAUK dalam mendukung target institusi, khususnya bidang tata kelola, administrasi, keuangan, sarana prasarana, SDM tenaga kependidikan, layanan, monitoring, dan akuntabilitas.</w:t>
      </w:r>
    </w:p>
    <w:p>
      <w:r>
        <w:br w:type="page"/>
      </w:r>
    </w:p>
    <w:p>
      <w:pPr>
        <w:pStyle w:val="Heading1"/>
      </w:pPr>
      <w:r>
        <w:t>LEMBAR PENGESAHAN</w:t>
      </w:r>
    </w:p>
    <w:tbl>
      <w:tblPr>
        <w:tblStyle w:val="TableGrid"/>
        <w:tblW w:type="auto" w:w="0"/>
        <w:jc w:val="center"/>
        <w:tblLook w:firstColumn="1" w:firstRow="1" w:lastColumn="0" w:lastRow="0" w:noHBand="0" w:noVBand="1" w:val="04A0"/>
      </w:tblPr>
      <w:tblGrid>
        <w:gridCol w:w="2422"/>
        <w:gridCol w:w="2422"/>
        <w:gridCol w:w="2422"/>
        <w:gridCol w:w="2422"/>
      </w:tblGrid>
      <w:tr>
        <w:tc>
          <w:tcPr>
            <w:tcW w:type="dxa" w:w="2422"/>
            <w:vAlign w:val="center"/>
            <w:shd w:fill="D9EAF7"/>
          </w:tcPr>
          <w:p>
            <w:pPr>
              <w:jc w:val="center"/>
            </w:pPr>
            <w:r/>
            <w:r>
              <w:rPr>
                <w:rFonts w:ascii="Arial" w:hAnsi="Arial"/>
                <w:b/>
                <w:sz w:val="16"/>
              </w:rPr>
              <w:t>Jabatan</w:t>
            </w:r>
          </w:p>
        </w:tc>
        <w:tc>
          <w:tcPr>
            <w:tcW w:type="dxa" w:w="2422"/>
            <w:vAlign w:val="center"/>
            <w:shd w:fill="D9EAF7"/>
          </w:tcPr>
          <w:p>
            <w:pPr>
              <w:jc w:val="center"/>
            </w:pPr>
            <w:r/>
            <w:r>
              <w:rPr>
                <w:rFonts w:ascii="Arial" w:hAnsi="Arial"/>
                <w:b/>
                <w:sz w:val="16"/>
              </w:rPr>
              <w:t>Nama</w:t>
            </w:r>
          </w:p>
        </w:tc>
        <w:tc>
          <w:tcPr>
            <w:tcW w:type="dxa" w:w="2422"/>
            <w:vAlign w:val="center"/>
            <w:shd w:fill="D9EAF7"/>
          </w:tcPr>
          <w:p>
            <w:pPr>
              <w:jc w:val="center"/>
            </w:pPr>
            <w:r/>
            <w:r>
              <w:rPr>
                <w:rFonts w:ascii="Arial" w:hAnsi="Arial"/>
                <w:b/>
                <w:sz w:val="16"/>
              </w:rPr>
              <w:t>Tanda Tangan</w:t>
            </w:r>
          </w:p>
        </w:tc>
        <w:tc>
          <w:tcPr>
            <w:tcW w:type="dxa" w:w="2422"/>
            <w:vAlign w:val="center"/>
            <w:shd w:fill="D9EAF7"/>
          </w:tcPr>
          <w:p>
            <w:pPr>
              <w:jc w:val="center"/>
            </w:pPr>
            <w:r/>
            <w:r>
              <w:rPr>
                <w:rFonts w:ascii="Arial" w:hAnsi="Arial"/>
                <w:b/>
                <w:sz w:val="16"/>
              </w:rPr>
              <w:t>Tanggal</w:t>
            </w:r>
          </w:p>
        </w:tc>
      </w:tr>
      <w:tr>
        <w:tc>
          <w:tcPr>
            <w:tcW w:type="dxa" w:w="2422"/>
            <w:vAlign w:val="center"/>
          </w:tcPr>
          <w:p>
            <w:pPr>
              <w:jc w:val="left"/>
            </w:pPr>
            <w:r/>
            <w:r>
              <w:rPr>
                <w:rFonts w:ascii="Arial" w:hAnsi="Arial"/>
                <w:b w:val="0"/>
                <w:sz w:val="16"/>
              </w:rPr>
              <w:t>Disusun oleh Kepala BAUK</w:t>
            </w:r>
          </w:p>
        </w:tc>
        <w:tc>
          <w:tcPr>
            <w:tcW w:type="dxa" w:w="2422"/>
            <w:vAlign w:val="center"/>
          </w:tcPr>
          <w:p>
            <w:pPr>
              <w:jc w:val="left"/>
            </w:pPr>
            <w:r/>
            <w:r>
              <w:rPr>
                <w:rFonts w:ascii="Arial" w:hAnsi="Arial"/>
                <w:b w:val="0"/>
                <w:sz w:val="16"/>
              </w:rPr>
              <w:t>Dr. Titi Hendrawati, S.Pd.I., M.Pd.</w:t>
            </w:r>
          </w:p>
        </w:tc>
        <w:tc>
          <w:tcPr>
            <w:tcW w:type="dxa" w:w="2422"/>
            <w:vAlign w:val="center"/>
          </w:tcPr>
          <w:p>
            <w:pPr>
              <w:jc w:val="left"/>
            </w:pPr>
            <w:r/>
            <w:r>
              <w:rPr>
                <w:rFonts w:ascii="Arial" w:hAnsi="Arial"/>
                <w:b w:val="0"/>
                <w:sz w:val="16"/>
              </w:rPr>
            </w:r>
          </w:p>
        </w:tc>
        <w:tc>
          <w:tcPr>
            <w:tcW w:type="dxa" w:w="2422"/>
            <w:vAlign w:val="center"/>
          </w:tcPr>
          <w:p>
            <w:pPr>
              <w:jc w:val="left"/>
            </w:pPr>
            <w:r/>
            <w:r>
              <w:rPr>
                <w:rFonts w:ascii="Arial" w:hAnsi="Arial"/>
                <w:b w:val="0"/>
                <w:sz w:val="16"/>
              </w:rPr>
            </w:r>
          </w:p>
        </w:tc>
      </w:tr>
      <w:tr>
        <w:tc>
          <w:tcPr>
            <w:tcW w:type="dxa" w:w="2422"/>
            <w:vAlign w:val="center"/>
          </w:tcPr>
          <w:p>
            <w:pPr>
              <w:jc w:val="left"/>
            </w:pPr>
            <w:r/>
            <w:r>
              <w:rPr>
                <w:rFonts w:ascii="Arial" w:hAnsi="Arial"/>
                <w:b w:val="0"/>
                <w:sz w:val="16"/>
              </w:rPr>
              <w:t>Diperiksa oleh Wakil Ketua Bidang Keuangan</w:t>
            </w:r>
          </w:p>
        </w:tc>
        <w:tc>
          <w:tcPr>
            <w:tcW w:type="dxa" w:w="2422"/>
            <w:vAlign w:val="center"/>
          </w:tcPr>
          <w:p>
            <w:pPr>
              <w:jc w:val="left"/>
            </w:pPr>
            <w:r/>
            <w:r>
              <w:rPr>
                <w:rFonts w:ascii="Arial" w:hAnsi="Arial"/>
                <w:b w:val="0"/>
                <w:sz w:val="16"/>
              </w:rPr>
              <w:t>Dr. Hj. Siti Ropiah, S.H., M.Hum.</w:t>
            </w:r>
          </w:p>
        </w:tc>
        <w:tc>
          <w:tcPr>
            <w:tcW w:type="dxa" w:w="2422"/>
            <w:vAlign w:val="center"/>
          </w:tcPr>
          <w:p>
            <w:pPr>
              <w:jc w:val="left"/>
            </w:pPr>
            <w:r/>
            <w:r>
              <w:rPr>
                <w:rFonts w:ascii="Arial" w:hAnsi="Arial"/>
                <w:b w:val="0"/>
                <w:sz w:val="16"/>
              </w:rPr>
            </w:r>
          </w:p>
        </w:tc>
        <w:tc>
          <w:tcPr>
            <w:tcW w:type="dxa" w:w="2422"/>
            <w:vAlign w:val="center"/>
          </w:tcPr>
          <w:p>
            <w:pPr>
              <w:jc w:val="left"/>
            </w:pPr>
            <w:r/>
            <w:r>
              <w:rPr>
                <w:rFonts w:ascii="Arial" w:hAnsi="Arial"/>
                <w:b w:val="0"/>
                <w:sz w:val="16"/>
              </w:rPr>
            </w:r>
          </w:p>
        </w:tc>
      </w:tr>
      <w:tr>
        <w:tc>
          <w:tcPr>
            <w:tcW w:type="dxa" w:w="2422"/>
            <w:vAlign w:val="center"/>
          </w:tcPr>
          <w:p>
            <w:pPr>
              <w:jc w:val="left"/>
            </w:pPr>
            <w:r/>
            <w:r>
              <w:rPr>
                <w:rFonts w:ascii="Arial" w:hAnsi="Arial"/>
                <w:b w:val="0"/>
                <w:sz w:val="16"/>
              </w:rPr>
              <w:t>Disetujui oleh Ketua STAI Haji Agus Salim</w:t>
            </w:r>
          </w:p>
        </w:tc>
        <w:tc>
          <w:tcPr>
            <w:tcW w:type="dxa" w:w="2422"/>
            <w:vAlign w:val="center"/>
          </w:tcPr>
          <w:p>
            <w:pPr>
              <w:jc w:val="left"/>
            </w:pPr>
            <w:r/>
            <w:r>
              <w:rPr>
                <w:rFonts w:ascii="Arial" w:hAnsi="Arial"/>
                <w:b w:val="0"/>
                <w:sz w:val="16"/>
              </w:rPr>
              <w:t>Drs. H. Solihin Sari, M.Si.</w:t>
            </w:r>
          </w:p>
        </w:tc>
        <w:tc>
          <w:tcPr>
            <w:tcW w:type="dxa" w:w="2422"/>
            <w:vAlign w:val="center"/>
          </w:tcPr>
          <w:p>
            <w:pPr>
              <w:jc w:val="left"/>
            </w:pPr>
            <w:r/>
            <w:r>
              <w:rPr>
                <w:rFonts w:ascii="Arial" w:hAnsi="Arial"/>
                <w:b w:val="0"/>
                <w:sz w:val="16"/>
              </w:rPr>
            </w:r>
          </w:p>
        </w:tc>
        <w:tc>
          <w:tcPr>
            <w:tcW w:type="dxa" w:w="2422"/>
            <w:vAlign w:val="center"/>
          </w:tcPr>
          <w:p>
            <w:pPr>
              <w:jc w:val="left"/>
            </w:pPr>
            <w:r/>
            <w:r>
              <w:rPr>
                <w:rFonts w:ascii="Arial" w:hAnsi="Arial"/>
                <w:b w:val="0"/>
                <w:sz w:val="16"/>
              </w:rPr>
            </w:r>
          </w:p>
        </w:tc>
      </w:tr>
    </w:tbl>
    <w:p/>
    <w:p>
      <w:pPr>
        <w:pStyle w:val="Heading1"/>
      </w:pPr>
      <w:r>
        <w:t>KATA PENGANTAR</w:t>
      </w:r>
    </w:p>
    <w:p>
      <w:pPr>
        <w:jc w:val="both"/>
      </w:pPr>
      <w:r>
        <w:t>Puji syukur ke hadirat Allah SWT atas rahmat dan karunia-Nya sehingga Rencana Operasional Biro Administrasi Umum dan Keuangan STAI Haji Agus Salim Cikarang Bekasi Tahun Akademik 2024–2025 dapat disusun sebagai dokumen penguatan perencanaan unit.</w:t>
      </w:r>
    </w:p>
    <w:p>
      <w:pPr>
        <w:jc w:val="both"/>
      </w:pPr>
      <w:r>
        <w:t>RENOP BAUK ini disusun berdasarkan arah kebijakan RENOP STAI Haji Agus Salim Cikarang Bekasi Tahun Akademik 2024–2025. Dokumen ini memberikan penjabaran operasional atas peran BAUK dalam mendukung tata kelola, pelayanan administrasi, pengelolaan keuangan, sarana prasarana, aset, SDM tenaga kependidikan, dokumentasi, monitoring, evaluasi, dan akuntabilitas kelembagaan.</w:t>
      </w:r>
    </w:p>
    <w:p>
      <w:pPr>
        <w:jc w:val="both"/>
      </w:pPr>
      <w:r>
        <w:t>Dokumen ini diharapkan menjadi pedoman bagi BAUK dalam menyusun program kerja, kebutuhan anggaran, indikator kinerja, bukti implementasi, serta tindak lanjut perbaikan secara terukur. RENOP BAUK juga menjadi bagian dari penguatan Sistem Penjaminan Mutu Internal dan persiapan akreditasi institusi.</w:t>
      </w:r>
    </w:p>
    <w:p>
      <w:pPr>
        <w:jc w:val="right"/>
      </w:pPr>
      <w:r>
        <w:rPr>
          <w:rFonts w:ascii="Arial" w:hAnsi="Arial"/>
        </w:rPr>
        <w:t>Bekasi, ................................ 2024</w:t>
        <w:br/>
        <w:t>Kepala BAUK</w:t>
        <w:br/>
        <w:br/>
        <w:br/>
        <w:t>Dr. Titi Hendrawati, S.Pd.I., M.Pd.</w:t>
      </w:r>
    </w:p>
    <w:p>
      <w:r>
        <w:br w:type="page"/>
      </w:r>
    </w:p>
    <w:p>
      <w:pPr>
        <w:pStyle w:val="Heading1"/>
      </w:pPr>
      <w:r>
        <w:t>DAFTAR ISI</w:t>
      </w:r>
    </w:p>
    <w:p>
      <w:pPr>
        <w:ind w:left="283"/>
      </w:pPr>
      <w:r>
        <w:t>Lembar Pengesahan</w:t>
      </w:r>
    </w:p>
    <w:p>
      <w:pPr>
        <w:ind w:left="283"/>
      </w:pPr>
      <w:r>
        <w:t>Kata Pengantar</w:t>
      </w:r>
    </w:p>
    <w:p>
      <w:pPr>
        <w:ind w:left="283"/>
      </w:pPr>
      <w:r>
        <w:t>BAB I Pendahuluan</w:t>
      </w:r>
    </w:p>
    <w:p>
      <w:pPr>
        <w:ind w:left="283"/>
      </w:pPr>
      <w:r>
        <w:t>BAB II Arah Kebijakan dan Keterkaitan RENOP BAUK dengan RENOP Institusi</w:t>
      </w:r>
    </w:p>
    <w:p>
      <w:pPr>
        <w:ind w:left="283"/>
      </w:pPr>
      <w:r>
        <w:t>BAB III Rencana Operasional BAUK Tahun Akademik 2024–2025</w:t>
      </w:r>
    </w:p>
    <w:p>
      <w:pPr>
        <w:ind w:left="283"/>
      </w:pPr>
      <w:r>
        <w:t>BAB IV Indikator Kinerja, Monitoring, Evaluasi, dan Bukti Akreditasi</w:t>
      </w:r>
    </w:p>
    <w:p>
      <w:pPr>
        <w:ind w:left="283"/>
      </w:pPr>
      <w:r>
        <w:t>BAB V Penutup</w:t>
      </w:r>
    </w:p>
    <w:p>
      <w:pPr>
        <w:ind w:left="283"/>
      </w:pPr>
      <w:r>
        <w:t>Lampiran Matriks Sinkronisasi Dokumen BAUK</w:t>
      </w:r>
    </w:p>
    <w:p>
      <w:r>
        <w:br w:type="page"/>
      </w:r>
    </w:p>
    <w:p>
      <w:pPr>
        <w:pStyle w:val="Heading1"/>
      </w:pPr>
      <w:r>
        <w:t>BAB I</w:t>
        <w:br/>
        <w:t>PENDAHULUAN</w:t>
      </w:r>
    </w:p>
    <w:p>
      <w:pPr>
        <w:pStyle w:val="Heading2"/>
      </w:pPr>
      <w:r>
        <w:t>A. Latar Belakang</w:t>
      </w:r>
    </w:p>
    <w:p>
      <w:pPr>
        <w:jc w:val="both"/>
      </w:pPr>
      <w:r>
        <w:t>RENOP STAI Haji Agus Salim Cikarang Bekasi Tahun Akademik 2024–2025 menetapkan arah operasional institusi dalam bidang pendidikan dan pembelajaran, karakter dan keislaman, kewirausahaan, penelitian, pengabdian kepada masyarakat, kerja sama, serta tata kelola dan penjaminan mutu. BAUK memiliki peran strategis sebagai unit pendukung yang memastikan tersedianya layanan administrasi, pengelolaan keuangan, sarana prasarana, aset, dokumen, dan sistem pengendalian yang dibutuhkan untuk mendukung seluruh bidang tersebut.</w:t>
      </w:r>
    </w:p>
    <w:p>
      <w:pPr>
        <w:jc w:val="both"/>
      </w:pPr>
      <w:r>
        <w:t>Sebagai dokumen turunan, RENOP BAUK Tahun Akademik 2024–2025 disusun untuk menerjemahkan arah RENOP institusi ke dalam program kerja BAUK yang lebih operasional, terukur, dan dapat dipertanggungjawabkan. Dokumen ini juga memperjelas hubungan antara program BAUK, RKAT, SOP, formulir, monitoring realisasi, bukti keuangan, dokumen SPMI, dan kebutuhan akreditasi.</w:t>
      </w:r>
    </w:p>
    <w:p>
      <w:pPr>
        <w:pStyle w:val="Heading2"/>
      </w:pPr>
      <w:r>
        <w:t>B. Maksud dan Tujuan</w:t>
      </w:r>
    </w:p>
    <w:p>
      <w:pPr>
        <w:ind w:left="369" w:hanging="255"/>
      </w:pPr>
      <w:r>
        <w:rPr>
          <w:rFonts w:ascii="Arial" w:hAnsi="Arial"/>
          <w:sz w:val="21"/>
        </w:rPr>
        <w:t>a. menyediakan pedoman kerja tahunan BAUK yang selaras dengan RENOP institusi TA 2024–2025</w:t>
      </w:r>
    </w:p>
    <w:p>
      <w:pPr>
        <w:ind w:left="369" w:hanging="255"/>
      </w:pPr>
      <w:r>
        <w:rPr>
          <w:rFonts w:ascii="Arial" w:hAnsi="Arial"/>
          <w:sz w:val="21"/>
        </w:rPr>
        <w:t>b. menjabarkan program BAUK dalam bidang administrasi, keuangan, sarana prasarana, aset, layanan, dan dokumentasi</w:t>
      </w:r>
    </w:p>
    <w:p>
      <w:pPr>
        <w:ind w:left="369" w:hanging="255"/>
      </w:pPr>
      <w:r>
        <w:rPr>
          <w:rFonts w:ascii="Arial" w:hAnsi="Arial"/>
          <w:sz w:val="21"/>
        </w:rPr>
        <w:t>c. menetapkan indikator kinerja dan bukti yang perlu disiapkan oleh BAUK</w:t>
      </w:r>
    </w:p>
    <w:p>
      <w:pPr>
        <w:ind w:left="369" w:hanging="255"/>
      </w:pPr>
      <w:r>
        <w:rPr>
          <w:rFonts w:ascii="Arial" w:hAnsi="Arial"/>
          <w:sz w:val="21"/>
        </w:rPr>
        <w:t>d. mendukung keterlacakan antara perencanaan, penganggaran, pelaksanaan, pertanggungjawaban, dan evaluasi</w:t>
      </w:r>
    </w:p>
    <w:p>
      <w:pPr>
        <w:ind w:left="369" w:hanging="255"/>
      </w:pPr>
      <w:r>
        <w:rPr>
          <w:rFonts w:ascii="Arial" w:hAnsi="Arial"/>
          <w:sz w:val="21"/>
        </w:rPr>
        <w:t>e. memperkuat pelaksanaan Sistem Penjaminan Mutu Internal pada bidang nonakademik</w:t>
      </w:r>
    </w:p>
    <w:p>
      <w:pPr>
        <w:ind w:left="369" w:hanging="255"/>
      </w:pPr>
      <w:r>
        <w:rPr>
          <w:rFonts w:ascii="Arial" w:hAnsi="Arial"/>
          <w:sz w:val="21"/>
        </w:rPr>
        <w:t>f. menyediakan dasar penguatan dokumen BAUK untuk kebutuhan akreditasi institusi</w:t>
      </w:r>
    </w:p>
    <w:p>
      <w:pPr>
        <w:pStyle w:val="Heading2"/>
      </w:pPr>
      <w:r>
        <w:t>C. Ruang Lingkup</w:t>
      </w:r>
    </w:p>
    <w:p>
      <w:pPr>
        <w:ind w:left="369" w:hanging="255"/>
      </w:pPr>
      <w:r>
        <w:rPr>
          <w:rFonts w:ascii="Arial" w:hAnsi="Arial"/>
          <w:sz w:val="21"/>
        </w:rPr>
        <w:t>a. perencanaan dan sinkronisasi RKAT</w:t>
      </w:r>
    </w:p>
    <w:p>
      <w:pPr>
        <w:ind w:left="369" w:hanging="255"/>
      </w:pPr>
      <w:r>
        <w:rPr>
          <w:rFonts w:ascii="Arial" w:hAnsi="Arial"/>
          <w:sz w:val="21"/>
        </w:rPr>
        <w:t>b. pengelolaan penerimaan, pengeluaran, kas, bank, dan rekonsiliasi</w:t>
      </w:r>
    </w:p>
    <w:p>
      <w:pPr>
        <w:ind w:left="369" w:hanging="255"/>
      </w:pPr>
      <w:r>
        <w:rPr>
          <w:rFonts w:ascii="Arial" w:hAnsi="Arial"/>
          <w:sz w:val="21"/>
        </w:rPr>
        <w:t>c. administrasi umum, layanan, surat menyurat, dan pengarsipan</w:t>
      </w:r>
    </w:p>
    <w:p>
      <w:pPr>
        <w:ind w:left="369" w:hanging="255"/>
      </w:pPr>
      <w:r>
        <w:rPr>
          <w:rFonts w:ascii="Arial" w:hAnsi="Arial"/>
          <w:sz w:val="21"/>
        </w:rPr>
        <w:t>d. pengelolaan sarana prasarana dan aset</w:t>
      </w:r>
    </w:p>
    <w:p>
      <w:pPr>
        <w:ind w:left="369" w:hanging="255"/>
      </w:pPr>
      <w:r>
        <w:rPr>
          <w:rFonts w:ascii="Arial" w:hAnsi="Arial"/>
          <w:sz w:val="21"/>
        </w:rPr>
        <w:t>e. pengembangan SDM tenaga kependidikan dan administrasi</w:t>
      </w:r>
    </w:p>
    <w:p>
      <w:pPr>
        <w:ind w:left="369" w:hanging="255"/>
      </w:pPr>
      <w:r>
        <w:rPr>
          <w:rFonts w:ascii="Arial" w:hAnsi="Arial"/>
          <w:sz w:val="21"/>
        </w:rPr>
        <w:t>f. digitalisasi layanan dan data administrasi</w:t>
      </w:r>
    </w:p>
    <w:p>
      <w:pPr>
        <w:ind w:left="369" w:hanging="255"/>
      </w:pPr>
      <w:r>
        <w:rPr>
          <w:rFonts w:ascii="Arial" w:hAnsi="Arial"/>
          <w:sz w:val="21"/>
        </w:rPr>
        <w:t>g. monitoring, evaluasi, pelaporan, dan tindak lanjut</w:t>
      </w:r>
    </w:p>
    <w:p>
      <w:pPr>
        <w:ind w:left="369" w:hanging="255"/>
      </w:pPr>
      <w:r>
        <w:rPr>
          <w:rFonts w:ascii="Arial" w:hAnsi="Arial"/>
          <w:sz w:val="21"/>
        </w:rPr>
        <w:t>h. penyediaan bukti akuntabilitas untuk SPMI dan akreditasi</w:t>
      </w:r>
    </w:p>
    <w:p>
      <w:pPr>
        <w:pStyle w:val="Heading2"/>
      </w:pPr>
      <w:r>
        <w:t>D. Dasar Penyusunan</w:t>
      </w:r>
    </w:p>
    <w:p>
      <w:pPr>
        <w:ind w:left="369" w:hanging="255"/>
      </w:pPr>
      <w:r>
        <w:rPr>
          <w:rFonts w:ascii="Arial" w:hAnsi="Arial"/>
          <w:sz w:val="21"/>
        </w:rPr>
        <w:t>a. RENOP STAI Haji Agus Salim Cikarang Bekasi Tahun Akademik 2024–2025</w:t>
      </w:r>
    </w:p>
    <w:p>
      <w:pPr>
        <w:ind w:left="369" w:hanging="255"/>
      </w:pPr>
      <w:r>
        <w:rPr>
          <w:rFonts w:ascii="Arial" w:hAnsi="Arial"/>
          <w:sz w:val="21"/>
        </w:rPr>
        <w:t>b. Rencana Strategis STAI Haji Agus Salim Cikarang Bekasi yang berlaku</w:t>
      </w:r>
    </w:p>
    <w:p>
      <w:pPr>
        <w:ind w:left="369" w:hanging="255"/>
      </w:pPr>
      <w:r>
        <w:rPr>
          <w:rFonts w:ascii="Arial" w:hAnsi="Arial"/>
          <w:sz w:val="21"/>
        </w:rPr>
        <w:t>c. Statuta dan ketentuan tata kelola STAI Haji Agus Salim Cikarang Bekasi</w:t>
      </w:r>
    </w:p>
    <w:p>
      <w:pPr>
        <w:ind w:left="369" w:hanging="255"/>
      </w:pPr>
      <w:r>
        <w:rPr>
          <w:rFonts w:ascii="Arial" w:hAnsi="Arial"/>
          <w:sz w:val="21"/>
        </w:rPr>
        <w:t>d. Kebijakan pengelolaan keuangan dan standar SPMI yang ditetapkan institusi</w:t>
      </w:r>
    </w:p>
    <w:p>
      <w:pPr>
        <w:ind w:left="369" w:hanging="255"/>
      </w:pPr>
      <w:r>
        <w:rPr>
          <w:rFonts w:ascii="Arial" w:hAnsi="Arial"/>
          <w:sz w:val="21"/>
        </w:rPr>
        <w:t>e. RKAT dan dokumen anggaran yang disetujui</w:t>
      </w:r>
    </w:p>
    <w:p>
      <w:pPr>
        <w:ind w:left="369" w:hanging="255"/>
      </w:pPr>
      <w:r>
        <w:rPr>
          <w:rFonts w:ascii="Arial" w:hAnsi="Arial"/>
          <w:sz w:val="21"/>
        </w:rPr>
        <w:t>f. hasil evaluasi kebutuhan administrasi, layanan, keuangan, sarana prasarana, dan akreditasi</w:t>
      </w:r>
    </w:p>
    <w:p>
      <w:pPr>
        <w:ind w:left="369" w:hanging="255"/>
      </w:pPr>
      <w:r>
        <w:rPr>
          <w:rFonts w:ascii="Arial" w:hAnsi="Arial"/>
          <w:sz w:val="21"/>
        </w:rPr>
        <w:t>g. dokumen peraturan, SOP, formulir, laporan, dan bukti pendukung yang tersedia</w:t>
      </w:r>
    </w:p>
    <w:p>
      <w:r>
        <w:br w:type="page"/>
      </w:r>
    </w:p>
    <w:p>
      <w:pPr>
        <w:pStyle w:val="Heading1"/>
      </w:pPr>
      <w:r>
        <w:t>BAB II</w:t>
        <w:br/>
        <w:t>ARAH KEBIJAKAN DAN KETERKAITAN RENOP BAUK DENGAN RENOP INSTITUSI</w:t>
      </w:r>
    </w:p>
    <w:p>
      <w:pPr>
        <w:pStyle w:val="Heading2"/>
      </w:pPr>
      <w:r>
        <w:t>A. Keterkaitan dengan Visi Institusi</w:t>
      </w:r>
    </w:p>
    <w:p>
      <w:pPr>
        <w:jc w:val="both"/>
      </w:pPr>
      <w:r>
        <w:t>Visi institusi menekankan keunggulan perguruan tinggi Islam di Provinsi Jawa Barat sebagai wadah pengembangan ilmu keislaman dan ilmu sosial berbasis nilai lokal dan industri pada tahun 2033. BAUK mendukung visi tersebut melalui tata kelola administrasi dan keuangan yang kredibel, transparan, akuntabel, tertib, dan responsif terhadap kebutuhan pembelajaran, layanan mahasiswa, penelitian, pengabdian, kerja sama, serta akreditasi.</w:t>
      </w:r>
    </w:p>
    <w:p>
      <w:pPr>
        <w:pStyle w:val="Heading2"/>
      </w:pPr>
      <w:r>
        <w:t>B. Peran BAUK terhadap Bidang RENOP Institusi</w:t>
      </w:r>
    </w:p>
    <w:tbl>
      <w:tblPr>
        <w:tblStyle w:val="TableGrid"/>
        <w:tblW w:type="auto" w:w="0"/>
        <w:jc w:val="center"/>
        <w:tblLook w:firstColumn="1" w:firstRow="1" w:lastColumn="0" w:lastRow="0" w:noHBand="0" w:noVBand="1" w:val="04A0"/>
      </w:tblPr>
      <w:tblGrid>
        <w:gridCol w:w="3230"/>
        <w:gridCol w:w="3230"/>
        <w:gridCol w:w="3230"/>
      </w:tblGrid>
      <w:tr>
        <w:tc>
          <w:tcPr>
            <w:tcW w:type="dxa" w:w="3230"/>
            <w:vAlign w:val="center"/>
            <w:shd w:fill="D9EAF7"/>
          </w:tcPr>
          <w:p>
            <w:pPr>
              <w:jc w:val="center"/>
            </w:pPr>
            <w:r/>
            <w:r>
              <w:rPr>
                <w:rFonts w:ascii="Arial" w:hAnsi="Arial"/>
                <w:b/>
                <w:sz w:val="15"/>
              </w:rPr>
              <w:t>Bidang RENOP Institusi</w:t>
            </w:r>
          </w:p>
        </w:tc>
        <w:tc>
          <w:tcPr>
            <w:tcW w:type="dxa" w:w="3230"/>
            <w:vAlign w:val="center"/>
            <w:shd w:fill="D9EAF7"/>
          </w:tcPr>
          <w:p>
            <w:pPr>
              <w:jc w:val="center"/>
            </w:pPr>
            <w:r/>
            <w:r>
              <w:rPr>
                <w:rFonts w:ascii="Arial" w:hAnsi="Arial"/>
                <w:b/>
                <w:sz w:val="15"/>
              </w:rPr>
              <w:t>Peran Dukungan BAUK</w:t>
            </w:r>
          </w:p>
        </w:tc>
        <w:tc>
          <w:tcPr>
            <w:tcW w:type="dxa" w:w="3230"/>
            <w:vAlign w:val="center"/>
            <w:shd w:fill="D9EAF7"/>
          </w:tcPr>
          <w:p>
            <w:pPr>
              <w:jc w:val="center"/>
            </w:pPr>
            <w:r/>
            <w:r>
              <w:rPr>
                <w:rFonts w:ascii="Arial" w:hAnsi="Arial"/>
                <w:b/>
                <w:sz w:val="15"/>
              </w:rPr>
              <w:t>Bukti yang Perlu Disiapkan</w:t>
            </w:r>
          </w:p>
        </w:tc>
      </w:tr>
      <w:tr>
        <w:tc>
          <w:tcPr>
            <w:tcW w:type="dxa" w:w="3230"/>
            <w:vAlign w:val="center"/>
          </w:tcPr>
          <w:p>
            <w:pPr>
              <w:jc w:val="left"/>
            </w:pPr>
            <w:r/>
            <w:r>
              <w:rPr>
                <w:rFonts w:ascii="Arial" w:hAnsi="Arial"/>
                <w:b w:val="0"/>
                <w:sz w:val="15"/>
              </w:rPr>
              <w:t>Pendidikan dan Pembelajaran</w:t>
            </w:r>
          </w:p>
        </w:tc>
        <w:tc>
          <w:tcPr>
            <w:tcW w:type="dxa" w:w="3230"/>
            <w:vAlign w:val="center"/>
          </w:tcPr>
          <w:p>
            <w:pPr>
              <w:jc w:val="left"/>
            </w:pPr>
            <w:r/>
            <w:r>
              <w:rPr>
                <w:rFonts w:ascii="Arial" w:hAnsi="Arial"/>
                <w:b w:val="0"/>
                <w:sz w:val="15"/>
              </w:rPr>
              <w:t>Mendukung kebutuhan administrasi, sarana pembelajaran, pengadaan, pencairan, dan pertanggungjawaban kegiatan akademik.</w:t>
            </w:r>
          </w:p>
        </w:tc>
        <w:tc>
          <w:tcPr>
            <w:tcW w:type="dxa" w:w="3230"/>
            <w:vAlign w:val="center"/>
          </w:tcPr>
          <w:p>
            <w:pPr>
              <w:jc w:val="left"/>
            </w:pPr>
            <w:r/>
            <w:r>
              <w:rPr>
                <w:rFonts w:ascii="Arial" w:hAnsi="Arial"/>
                <w:b w:val="0"/>
                <w:sz w:val="15"/>
              </w:rPr>
              <w:t>RAB kegiatan, formulir pengajuan, bukti pencairan, SPJ, daftar inventaris, dokumen pemeliharaan.</w:t>
            </w:r>
          </w:p>
        </w:tc>
      </w:tr>
      <w:tr>
        <w:tc>
          <w:tcPr>
            <w:tcW w:type="dxa" w:w="3230"/>
            <w:vAlign w:val="center"/>
          </w:tcPr>
          <w:p>
            <w:pPr>
              <w:jc w:val="left"/>
            </w:pPr>
            <w:r/>
            <w:r>
              <w:rPr>
                <w:rFonts w:ascii="Arial" w:hAnsi="Arial"/>
                <w:b w:val="0"/>
                <w:sz w:val="15"/>
              </w:rPr>
              <w:t>Karakter dan Keislaman</w:t>
            </w:r>
          </w:p>
        </w:tc>
        <w:tc>
          <w:tcPr>
            <w:tcW w:type="dxa" w:w="3230"/>
            <w:vAlign w:val="center"/>
          </w:tcPr>
          <w:p>
            <w:pPr>
              <w:jc w:val="left"/>
            </w:pPr>
            <w:r/>
            <w:r>
              <w:rPr>
                <w:rFonts w:ascii="Arial" w:hAnsi="Arial"/>
                <w:b w:val="0"/>
                <w:sz w:val="15"/>
              </w:rPr>
              <w:t>Mendukung administrasi kegiatan, logistik, anggaran, dokumentasi, dan pertanggungjawaban kegiatan pembinaan mahasiswa.</w:t>
            </w:r>
          </w:p>
        </w:tc>
        <w:tc>
          <w:tcPr>
            <w:tcW w:type="dxa" w:w="3230"/>
            <w:vAlign w:val="center"/>
          </w:tcPr>
          <w:p>
            <w:pPr>
              <w:jc w:val="left"/>
            </w:pPr>
            <w:r/>
            <w:r>
              <w:rPr>
                <w:rFonts w:ascii="Arial" w:hAnsi="Arial"/>
                <w:b w:val="0"/>
                <w:sz w:val="15"/>
              </w:rPr>
              <w:t>Pengajuan kegiatan, daftar hadir, bukti pembayaran, laporan kegiatan, SPJ.</w:t>
            </w:r>
          </w:p>
        </w:tc>
      </w:tr>
      <w:tr>
        <w:tc>
          <w:tcPr>
            <w:tcW w:type="dxa" w:w="3230"/>
            <w:vAlign w:val="center"/>
          </w:tcPr>
          <w:p>
            <w:pPr>
              <w:jc w:val="left"/>
            </w:pPr>
            <w:r/>
            <w:r>
              <w:rPr>
                <w:rFonts w:ascii="Arial" w:hAnsi="Arial"/>
                <w:b w:val="0"/>
                <w:sz w:val="15"/>
              </w:rPr>
              <w:t>Entrepreneurship/Kewirausahaan</w:t>
            </w:r>
          </w:p>
        </w:tc>
        <w:tc>
          <w:tcPr>
            <w:tcW w:type="dxa" w:w="3230"/>
            <w:vAlign w:val="center"/>
          </w:tcPr>
          <w:p>
            <w:pPr>
              <w:jc w:val="left"/>
            </w:pPr>
            <w:r/>
            <w:r>
              <w:rPr>
                <w:rFonts w:ascii="Arial" w:hAnsi="Arial"/>
                <w:b w:val="0"/>
                <w:sz w:val="15"/>
              </w:rPr>
              <w:t>Mendukung kegiatan pelatihan, expo, kerja sama, dan administrasi pembiayaan kegiatan kewirausahaan.</w:t>
            </w:r>
          </w:p>
        </w:tc>
        <w:tc>
          <w:tcPr>
            <w:tcW w:type="dxa" w:w="3230"/>
            <w:vAlign w:val="center"/>
          </w:tcPr>
          <w:p>
            <w:pPr>
              <w:jc w:val="left"/>
            </w:pPr>
            <w:r/>
            <w:r>
              <w:rPr>
                <w:rFonts w:ascii="Arial" w:hAnsi="Arial"/>
                <w:b w:val="0"/>
                <w:sz w:val="15"/>
              </w:rPr>
              <w:t>RAB, bukti kegiatan, bukti belanja, laporan penggunaan dana.</w:t>
            </w:r>
          </w:p>
        </w:tc>
      </w:tr>
      <w:tr>
        <w:tc>
          <w:tcPr>
            <w:tcW w:type="dxa" w:w="3230"/>
            <w:vAlign w:val="center"/>
          </w:tcPr>
          <w:p>
            <w:pPr>
              <w:jc w:val="left"/>
            </w:pPr>
            <w:r/>
            <w:r>
              <w:rPr>
                <w:rFonts w:ascii="Arial" w:hAnsi="Arial"/>
                <w:b w:val="0"/>
                <w:sz w:val="15"/>
              </w:rPr>
              <w:t>Penelitian</w:t>
            </w:r>
          </w:p>
        </w:tc>
        <w:tc>
          <w:tcPr>
            <w:tcW w:type="dxa" w:w="3230"/>
            <w:vAlign w:val="center"/>
          </w:tcPr>
          <w:p>
            <w:pPr>
              <w:jc w:val="left"/>
            </w:pPr>
            <w:r/>
            <w:r>
              <w:rPr>
                <w:rFonts w:ascii="Arial" w:hAnsi="Arial"/>
                <w:b w:val="0"/>
                <w:sz w:val="15"/>
              </w:rPr>
              <w:t>Mendukung pencairan dan pertanggungjawaban anggaran penelitian sesuai mekanisme keuangan.</w:t>
            </w:r>
          </w:p>
        </w:tc>
        <w:tc>
          <w:tcPr>
            <w:tcW w:type="dxa" w:w="3230"/>
            <w:vAlign w:val="center"/>
          </w:tcPr>
          <w:p>
            <w:pPr>
              <w:jc w:val="left"/>
            </w:pPr>
            <w:r/>
            <w:r>
              <w:rPr>
                <w:rFonts w:ascii="Arial" w:hAnsi="Arial"/>
                <w:b w:val="0"/>
                <w:sz w:val="15"/>
              </w:rPr>
              <w:t>Daftar penerima, kontrak/surat tugas, bukti pencairan, bukti realisasi, laporan keuangan kegiatan.</w:t>
            </w:r>
          </w:p>
        </w:tc>
      </w:tr>
      <w:tr>
        <w:tc>
          <w:tcPr>
            <w:tcW w:type="dxa" w:w="3230"/>
            <w:vAlign w:val="center"/>
          </w:tcPr>
          <w:p>
            <w:pPr>
              <w:jc w:val="left"/>
            </w:pPr>
            <w:r/>
            <w:r>
              <w:rPr>
                <w:rFonts w:ascii="Arial" w:hAnsi="Arial"/>
                <w:b w:val="0"/>
                <w:sz w:val="15"/>
              </w:rPr>
              <w:t>Pengabdian kepada Masyarakat</w:t>
            </w:r>
          </w:p>
        </w:tc>
        <w:tc>
          <w:tcPr>
            <w:tcW w:type="dxa" w:w="3230"/>
            <w:vAlign w:val="center"/>
          </w:tcPr>
          <w:p>
            <w:pPr>
              <w:jc w:val="left"/>
            </w:pPr>
            <w:r/>
            <w:r>
              <w:rPr>
                <w:rFonts w:ascii="Arial" w:hAnsi="Arial"/>
                <w:b w:val="0"/>
                <w:sz w:val="15"/>
              </w:rPr>
              <w:t>Mendukung administrasi, perjalanan kegiatan, belanja program, pencairan, dan pertanggungjawaban dana PkM.</w:t>
            </w:r>
          </w:p>
        </w:tc>
        <w:tc>
          <w:tcPr>
            <w:tcW w:type="dxa" w:w="3230"/>
            <w:vAlign w:val="center"/>
          </w:tcPr>
          <w:p>
            <w:pPr>
              <w:jc w:val="left"/>
            </w:pPr>
            <w:r/>
            <w:r>
              <w:rPr>
                <w:rFonts w:ascii="Arial" w:hAnsi="Arial"/>
                <w:b w:val="0"/>
                <w:sz w:val="15"/>
              </w:rPr>
              <w:t>Surat tugas, RAB, bukti transfer, laporan PkM, SPJ.</w:t>
            </w:r>
          </w:p>
        </w:tc>
      </w:tr>
      <w:tr>
        <w:tc>
          <w:tcPr>
            <w:tcW w:type="dxa" w:w="3230"/>
            <w:vAlign w:val="center"/>
          </w:tcPr>
          <w:p>
            <w:pPr>
              <w:jc w:val="left"/>
            </w:pPr>
            <w:r/>
            <w:r>
              <w:rPr>
                <w:rFonts w:ascii="Arial" w:hAnsi="Arial"/>
                <w:b w:val="0"/>
                <w:sz w:val="15"/>
              </w:rPr>
              <w:t>Kerja Sama dan Industri</w:t>
            </w:r>
          </w:p>
        </w:tc>
        <w:tc>
          <w:tcPr>
            <w:tcW w:type="dxa" w:w="3230"/>
            <w:vAlign w:val="center"/>
          </w:tcPr>
          <w:p>
            <w:pPr>
              <w:jc w:val="left"/>
            </w:pPr>
            <w:r/>
            <w:r>
              <w:rPr>
                <w:rFonts w:ascii="Arial" w:hAnsi="Arial"/>
                <w:b w:val="0"/>
                <w:sz w:val="15"/>
              </w:rPr>
              <w:t>Mendukung administrasi dokumen kerja sama, perjalanan, kegiatan, dan pengarsipan MoU/MoA.</w:t>
            </w:r>
          </w:p>
        </w:tc>
        <w:tc>
          <w:tcPr>
            <w:tcW w:type="dxa" w:w="3230"/>
            <w:vAlign w:val="center"/>
          </w:tcPr>
          <w:p>
            <w:pPr>
              <w:jc w:val="left"/>
            </w:pPr>
            <w:r/>
            <w:r>
              <w:rPr>
                <w:rFonts w:ascii="Arial" w:hAnsi="Arial"/>
                <w:b w:val="0"/>
                <w:sz w:val="15"/>
              </w:rPr>
              <w:t>Register kerja sama, arsip MoU/MoA, bukti kegiatan, laporan realisasi.</w:t>
            </w:r>
          </w:p>
        </w:tc>
      </w:tr>
      <w:tr>
        <w:tc>
          <w:tcPr>
            <w:tcW w:type="dxa" w:w="3230"/>
            <w:vAlign w:val="center"/>
          </w:tcPr>
          <w:p>
            <w:pPr>
              <w:jc w:val="left"/>
            </w:pPr>
            <w:r/>
            <w:r>
              <w:rPr>
                <w:rFonts w:ascii="Arial" w:hAnsi="Arial"/>
                <w:b w:val="0"/>
                <w:sz w:val="15"/>
              </w:rPr>
              <w:t>Tata Kelola dan Penjaminan Mutu</w:t>
            </w:r>
          </w:p>
        </w:tc>
        <w:tc>
          <w:tcPr>
            <w:tcW w:type="dxa" w:w="3230"/>
            <w:vAlign w:val="center"/>
          </w:tcPr>
          <w:p>
            <w:pPr>
              <w:jc w:val="left"/>
            </w:pPr>
            <w:r/>
            <w:r>
              <w:rPr>
                <w:rFonts w:ascii="Arial" w:hAnsi="Arial"/>
                <w:b w:val="0"/>
                <w:sz w:val="15"/>
              </w:rPr>
              <w:t>Mendukung penguatan SOP, AMI, evaluasi unit, survei kepuasan, persiapan akreditasi, dan peningkatan kompetensi tenaga kependidikan.</w:t>
            </w:r>
          </w:p>
        </w:tc>
        <w:tc>
          <w:tcPr>
            <w:tcW w:type="dxa" w:w="3230"/>
            <w:vAlign w:val="center"/>
          </w:tcPr>
          <w:p>
            <w:pPr>
              <w:jc w:val="left"/>
            </w:pPr>
            <w:r/>
            <w:r>
              <w:rPr>
                <w:rFonts w:ascii="Arial" w:hAnsi="Arial"/>
                <w:b w:val="0"/>
                <w:sz w:val="15"/>
              </w:rPr>
              <w:t>Dokumen SPMI, SOP, formulir, laporan AMI, survei, pelatihan tendik, tindak lanjut.</w:t>
            </w:r>
          </w:p>
        </w:tc>
      </w:tr>
    </w:tbl>
    <w:p/>
    <w:p>
      <w:pPr>
        <w:pStyle w:val="Heading2"/>
      </w:pPr>
      <w:r>
        <w:t>C. Prinsip Pelaksanaan RENOP BAUK</w:t>
      </w:r>
    </w:p>
    <w:p>
      <w:pPr>
        <w:ind w:left="369" w:hanging="255"/>
      </w:pPr>
      <w:r>
        <w:rPr>
          <w:rFonts w:ascii="Arial" w:hAnsi="Arial"/>
          <w:sz w:val="21"/>
        </w:rPr>
        <w:t>a. selaras dengan RENOP institusi dan RKAT yang disetujui</w:t>
      </w:r>
    </w:p>
    <w:p>
      <w:pPr>
        <w:ind w:left="369" w:hanging="255"/>
      </w:pPr>
      <w:r>
        <w:rPr>
          <w:rFonts w:ascii="Arial" w:hAnsi="Arial"/>
          <w:sz w:val="21"/>
        </w:rPr>
        <w:t>b. berbasis kebutuhan nyata, prioritas, dan kemampuan keuangan</w:t>
      </w:r>
    </w:p>
    <w:p>
      <w:pPr>
        <w:ind w:left="369" w:hanging="255"/>
      </w:pPr>
      <w:r>
        <w:rPr>
          <w:rFonts w:ascii="Arial" w:hAnsi="Arial"/>
          <w:sz w:val="21"/>
        </w:rPr>
        <w:t>c. menerapkan tertib administrasi dan keterlacakan dokumen</w:t>
      </w:r>
    </w:p>
    <w:p>
      <w:pPr>
        <w:ind w:left="369" w:hanging="255"/>
      </w:pPr>
      <w:r>
        <w:rPr>
          <w:rFonts w:ascii="Arial" w:hAnsi="Arial"/>
          <w:sz w:val="21"/>
        </w:rPr>
        <w:t>d. mengutamakan akuntabilitas penerimaan, pengeluaran, dan pertanggungjawaban</w:t>
      </w:r>
    </w:p>
    <w:p>
      <w:pPr>
        <w:ind w:left="369" w:hanging="255"/>
      </w:pPr>
      <w:r>
        <w:rPr>
          <w:rFonts w:ascii="Arial" w:hAnsi="Arial"/>
          <w:sz w:val="21"/>
        </w:rPr>
        <w:t>e. mendukung layanan yang cepat, sopan, transparan, dan terdokumentasi</w:t>
      </w:r>
    </w:p>
    <w:p>
      <w:pPr>
        <w:ind w:left="369" w:hanging="255"/>
      </w:pPr>
      <w:r>
        <w:rPr>
          <w:rFonts w:ascii="Arial" w:hAnsi="Arial"/>
          <w:sz w:val="21"/>
        </w:rPr>
        <w:t>f. menggunakan data sebagai dasar monitoring dan evaluasi</w:t>
      </w:r>
    </w:p>
    <w:p>
      <w:pPr>
        <w:ind w:left="369" w:hanging="255"/>
      </w:pPr>
      <w:r>
        <w:rPr>
          <w:rFonts w:ascii="Arial" w:hAnsi="Arial"/>
          <w:sz w:val="21"/>
        </w:rPr>
        <w:t>g. menjaga integritas dokumen, termasuk tidak memberlakukan dokumen baru secara surut</w:t>
      </w:r>
    </w:p>
    <w:p>
      <w:pPr>
        <w:ind w:left="369" w:hanging="255"/>
      </w:pPr>
      <w:r>
        <w:rPr>
          <w:rFonts w:ascii="Arial" w:hAnsi="Arial"/>
          <w:sz w:val="21"/>
        </w:rPr>
        <w:t>h. melaksanakan tindak lanjut atas temuan, deviasi, dan risiko</w:t>
      </w:r>
    </w:p>
    <w:p>
      <w:r>
        <w:br w:type="page"/>
      </w:r>
    </w:p>
    <w:p>
      <w:pPr>
        <w:pStyle w:val="Heading1"/>
      </w:pPr>
      <w:r>
        <w:t>BAB III</w:t>
        <w:br/>
        <w:t>RENCANA OPERASIONAL BAUK TAHUN AKADEMIK 2024–2025</w:t>
      </w:r>
    </w:p>
    <w:p>
      <w:r>
        <w:t>Program kerja BAUK berikut disusun sebagai turunan dari kebutuhan pelaksanaan RENOP institusi TA 2024–2025. Anggaran bersifat indikatif dan harus diselaraskan dengan RKAT institusi, kemampuan kas, dan persetujuan pejabat berwenang.</w:t>
      </w:r>
    </w:p>
    <w:tbl>
      <w:tblPr>
        <w:tblStyle w:val="TableGrid"/>
        <w:tblW w:type="auto" w:w="0"/>
        <w:jc w:val="center"/>
        <w:tblLook w:firstColumn="1" w:firstRow="1" w:lastColumn="0" w:lastRow="0" w:noHBand="0" w:noVBand="1" w:val="04A0"/>
      </w:tblPr>
      <w:tblGrid>
        <w:gridCol w:w="1384"/>
        <w:gridCol w:w="1384"/>
        <w:gridCol w:w="1384"/>
        <w:gridCol w:w="1384"/>
        <w:gridCol w:w="1384"/>
        <w:gridCol w:w="1384"/>
        <w:gridCol w:w="1384"/>
      </w:tblGrid>
      <w:tr>
        <w:tc>
          <w:tcPr>
            <w:tcW w:type="dxa" w:w="1384"/>
            <w:vAlign w:val="center"/>
            <w:shd w:fill="D9EAF7"/>
          </w:tcPr>
          <w:p>
            <w:pPr>
              <w:jc w:val="center"/>
            </w:pPr>
            <w:r/>
            <w:r>
              <w:rPr>
                <w:rFonts w:ascii="Arial" w:hAnsi="Arial"/>
                <w:b/>
                <w:sz w:val="14"/>
              </w:rPr>
              <w:t>Urutan</w:t>
            </w:r>
          </w:p>
        </w:tc>
        <w:tc>
          <w:tcPr>
            <w:tcW w:type="dxa" w:w="1384"/>
            <w:vAlign w:val="center"/>
            <w:shd w:fill="D9EAF7"/>
          </w:tcPr>
          <w:p>
            <w:pPr>
              <w:jc w:val="center"/>
            </w:pPr>
            <w:r/>
            <w:r>
              <w:rPr>
                <w:rFonts w:ascii="Arial" w:hAnsi="Arial"/>
                <w:b/>
                <w:sz w:val="14"/>
              </w:rPr>
              <w:t>Program/Kegiatan</w:t>
            </w:r>
          </w:p>
        </w:tc>
        <w:tc>
          <w:tcPr>
            <w:tcW w:type="dxa" w:w="1384"/>
            <w:vAlign w:val="center"/>
            <w:shd w:fill="D9EAF7"/>
          </w:tcPr>
          <w:p>
            <w:pPr>
              <w:jc w:val="center"/>
            </w:pPr>
            <w:r/>
            <w:r>
              <w:rPr>
                <w:rFonts w:ascii="Arial" w:hAnsi="Arial"/>
                <w:b/>
                <w:sz w:val="14"/>
              </w:rPr>
              <w:t>Indikator Kinerja</w:t>
            </w:r>
          </w:p>
        </w:tc>
        <w:tc>
          <w:tcPr>
            <w:tcW w:type="dxa" w:w="1384"/>
            <w:vAlign w:val="center"/>
            <w:shd w:fill="D9EAF7"/>
          </w:tcPr>
          <w:p>
            <w:pPr>
              <w:jc w:val="center"/>
            </w:pPr>
            <w:r/>
            <w:r>
              <w:rPr>
                <w:rFonts w:ascii="Arial" w:hAnsi="Arial"/>
                <w:b/>
                <w:sz w:val="14"/>
              </w:rPr>
              <w:t>Target 2024–2025</w:t>
            </w:r>
          </w:p>
        </w:tc>
        <w:tc>
          <w:tcPr>
            <w:tcW w:type="dxa" w:w="1384"/>
            <w:vAlign w:val="center"/>
            <w:shd w:fill="D9EAF7"/>
          </w:tcPr>
          <w:p>
            <w:pPr>
              <w:jc w:val="center"/>
            </w:pPr>
            <w:r/>
            <w:r>
              <w:rPr>
                <w:rFonts w:ascii="Arial" w:hAnsi="Arial"/>
                <w:b/>
                <w:sz w:val="14"/>
              </w:rPr>
              <w:t>Penanggung Jawab</w:t>
            </w:r>
          </w:p>
        </w:tc>
        <w:tc>
          <w:tcPr>
            <w:tcW w:type="dxa" w:w="1384"/>
            <w:vAlign w:val="center"/>
            <w:shd w:fill="D9EAF7"/>
          </w:tcPr>
          <w:p>
            <w:pPr>
              <w:jc w:val="center"/>
            </w:pPr>
            <w:r/>
            <w:r>
              <w:rPr>
                <w:rFonts w:ascii="Arial" w:hAnsi="Arial"/>
                <w:b/>
                <w:sz w:val="14"/>
              </w:rPr>
              <w:t>Waktu</w:t>
            </w:r>
          </w:p>
        </w:tc>
        <w:tc>
          <w:tcPr>
            <w:tcW w:type="dxa" w:w="1384"/>
            <w:vAlign w:val="center"/>
            <w:shd w:fill="D9EAF7"/>
          </w:tcPr>
          <w:p>
            <w:pPr>
              <w:jc w:val="center"/>
            </w:pPr>
            <w:r/>
            <w:r>
              <w:rPr>
                <w:rFonts w:ascii="Arial" w:hAnsi="Arial"/>
                <w:b/>
                <w:sz w:val="14"/>
              </w:rPr>
              <w:t>Anggaran</w:t>
            </w:r>
          </w:p>
        </w:tc>
      </w:tr>
      <w:tr>
        <w:tc>
          <w:tcPr>
            <w:tcW w:type="dxa" w:w="1384"/>
            <w:vAlign w:val="center"/>
          </w:tcPr>
          <w:p>
            <w:pPr>
              <w:jc w:val="left"/>
            </w:pPr>
            <w:r/>
            <w:r>
              <w:rPr>
                <w:rFonts w:ascii="Arial" w:hAnsi="Arial"/>
                <w:b w:val="0"/>
                <w:sz w:val="14"/>
              </w:rPr>
              <w:t>a</w:t>
            </w:r>
          </w:p>
        </w:tc>
        <w:tc>
          <w:tcPr>
            <w:tcW w:type="dxa" w:w="1384"/>
            <w:vAlign w:val="center"/>
          </w:tcPr>
          <w:p>
            <w:pPr>
              <w:jc w:val="left"/>
            </w:pPr>
            <w:r/>
            <w:r>
              <w:rPr>
                <w:rFonts w:ascii="Arial" w:hAnsi="Arial"/>
                <w:b w:val="0"/>
                <w:sz w:val="14"/>
              </w:rPr>
              <w:t>Penguatan tata kelola BAUK dan administrasi umum</w:t>
            </w:r>
          </w:p>
        </w:tc>
        <w:tc>
          <w:tcPr>
            <w:tcW w:type="dxa" w:w="1384"/>
            <w:vAlign w:val="center"/>
          </w:tcPr>
          <w:p>
            <w:pPr>
              <w:jc w:val="left"/>
            </w:pPr>
            <w:r/>
            <w:r>
              <w:rPr>
                <w:rFonts w:ascii="Arial" w:hAnsi="Arial"/>
                <w:b w:val="0"/>
                <w:sz w:val="14"/>
              </w:rPr>
              <w:t>Tersedianya alur layanan, daftar tugas, register surat, arsip, dan laporan layanan</w:t>
            </w:r>
          </w:p>
        </w:tc>
        <w:tc>
          <w:tcPr>
            <w:tcW w:type="dxa" w:w="1384"/>
            <w:vAlign w:val="center"/>
          </w:tcPr>
          <w:p>
            <w:pPr>
              <w:jc w:val="left"/>
            </w:pPr>
            <w:r/>
            <w:r>
              <w:rPr>
                <w:rFonts w:ascii="Arial" w:hAnsi="Arial"/>
                <w:b w:val="0"/>
                <w:sz w:val="14"/>
              </w:rPr>
              <w:t>100% layanan utama memiliki administrasi dan register</w:t>
            </w:r>
          </w:p>
        </w:tc>
        <w:tc>
          <w:tcPr>
            <w:tcW w:type="dxa" w:w="1384"/>
            <w:vAlign w:val="center"/>
          </w:tcPr>
          <w:p>
            <w:pPr>
              <w:jc w:val="left"/>
            </w:pPr>
            <w:r/>
            <w:r>
              <w:rPr>
                <w:rFonts w:ascii="Arial" w:hAnsi="Arial"/>
                <w:b w:val="0"/>
                <w:sz w:val="14"/>
              </w:rPr>
              <w:t>Kepala BAUK</w:t>
            </w:r>
          </w:p>
        </w:tc>
        <w:tc>
          <w:tcPr>
            <w:tcW w:type="dxa" w:w="1384"/>
            <w:vAlign w:val="center"/>
          </w:tcPr>
          <w:p>
            <w:pPr>
              <w:jc w:val="left"/>
            </w:pPr>
            <w:r/>
            <w:r>
              <w:rPr>
                <w:rFonts w:ascii="Arial" w:hAnsi="Arial"/>
                <w:b w:val="0"/>
                <w:sz w:val="14"/>
              </w:rPr>
              <w:t>Ganjil–Genap</w:t>
            </w:r>
          </w:p>
        </w:tc>
        <w:tc>
          <w:tcPr>
            <w:tcW w:type="dxa" w:w="1384"/>
            <w:vAlign w:val="center"/>
          </w:tcPr>
          <w:p>
            <w:pPr>
              <w:jc w:val="left"/>
            </w:pPr>
            <w:r/>
            <w:r>
              <w:rPr>
                <w:rFonts w:ascii="Arial" w:hAnsi="Arial"/>
                <w:b w:val="0"/>
                <w:sz w:val="14"/>
              </w:rPr>
              <w:t>Rp10.000.000</w:t>
            </w:r>
          </w:p>
        </w:tc>
      </w:tr>
      <w:tr>
        <w:tc>
          <w:tcPr>
            <w:tcW w:type="dxa" w:w="1384"/>
            <w:vAlign w:val="center"/>
          </w:tcPr>
          <w:p>
            <w:pPr>
              <w:jc w:val="left"/>
            </w:pPr>
            <w:r/>
            <w:r>
              <w:rPr>
                <w:rFonts w:ascii="Arial" w:hAnsi="Arial"/>
                <w:b w:val="0"/>
                <w:sz w:val="14"/>
              </w:rPr>
              <w:t>b</w:t>
            </w:r>
          </w:p>
        </w:tc>
        <w:tc>
          <w:tcPr>
            <w:tcW w:type="dxa" w:w="1384"/>
            <w:vAlign w:val="center"/>
          </w:tcPr>
          <w:p>
            <w:pPr>
              <w:jc w:val="left"/>
            </w:pPr>
            <w:r/>
            <w:r>
              <w:rPr>
                <w:rFonts w:ascii="Arial" w:hAnsi="Arial"/>
                <w:b w:val="0"/>
                <w:sz w:val="14"/>
              </w:rPr>
              <w:t>Sinkronisasi RKAT, RAB, dan pengajuan anggaran unit</w:t>
            </w:r>
          </w:p>
        </w:tc>
        <w:tc>
          <w:tcPr>
            <w:tcW w:type="dxa" w:w="1384"/>
            <w:vAlign w:val="center"/>
          </w:tcPr>
          <w:p>
            <w:pPr>
              <w:jc w:val="left"/>
            </w:pPr>
            <w:r/>
            <w:r>
              <w:rPr>
                <w:rFonts w:ascii="Arial" w:hAnsi="Arial"/>
                <w:b w:val="0"/>
                <w:sz w:val="14"/>
              </w:rPr>
              <w:t>Usulan anggaran unit diverifikasi dan dikaitkan dengan RENOP/RKAT</w:t>
            </w:r>
          </w:p>
        </w:tc>
        <w:tc>
          <w:tcPr>
            <w:tcW w:type="dxa" w:w="1384"/>
            <w:vAlign w:val="center"/>
          </w:tcPr>
          <w:p>
            <w:pPr>
              <w:jc w:val="left"/>
            </w:pPr>
            <w:r/>
            <w:r>
              <w:rPr>
                <w:rFonts w:ascii="Arial" w:hAnsi="Arial"/>
                <w:b w:val="0"/>
                <w:sz w:val="14"/>
              </w:rPr>
              <w:t>100% pengajuan melalui format terstandar</w:t>
            </w:r>
          </w:p>
        </w:tc>
        <w:tc>
          <w:tcPr>
            <w:tcW w:type="dxa" w:w="1384"/>
            <w:vAlign w:val="center"/>
          </w:tcPr>
          <w:p>
            <w:pPr>
              <w:jc w:val="left"/>
            </w:pPr>
            <w:r/>
            <w:r>
              <w:rPr>
                <w:rFonts w:ascii="Arial" w:hAnsi="Arial"/>
                <w:b w:val="0"/>
                <w:sz w:val="14"/>
              </w:rPr>
              <w:t>Kepala BAUK dan Keuangan</w:t>
            </w:r>
          </w:p>
        </w:tc>
        <w:tc>
          <w:tcPr>
            <w:tcW w:type="dxa" w:w="1384"/>
            <w:vAlign w:val="center"/>
          </w:tcPr>
          <w:p>
            <w:pPr>
              <w:jc w:val="left"/>
            </w:pPr>
            <w:r/>
            <w:r>
              <w:rPr>
                <w:rFonts w:ascii="Arial" w:hAnsi="Arial"/>
                <w:b w:val="0"/>
                <w:sz w:val="14"/>
              </w:rPr>
              <w:t>Ganjil</w:t>
            </w:r>
          </w:p>
        </w:tc>
        <w:tc>
          <w:tcPr>
            <w:tcW w:type="dxa" w:w="1384"/>
            <w:vAlign w:val="center"/>
          </w:tcPr>
          <w:p>
            <w:pPr>
              <w:jc w:val="left"/>
            </w:pPr>
            <w:r/>
            <w:r>
              <w:rPr>
                <w:rFonts w:ascii="Arial" w:hAnsi="Arial"/>
                <w:b w:val="0"/>
                <w:sz w:val="14"/>
              </w:rPr>
              <w:t>Rp5.000.000</w:t>
            </w:r>
          </w:p>
        </w:tc>
      </w:tr>
      <w:tr>
        <w:tc>
          <w:tcPr>
            <w:tcW w:type="dxa" w:w="1384"/>
            <w:vAlign w:val="center"/>
          </w:tcPr>
          <w:p>
            <w:pPr>
              <w:jc w:val="left"/>
            </w:pPr>
            <w:r/>
            <w:r>
              <w:rPr>
                <w:rFonts w:ascii="Arial" w:hAnsi="Arial"/>
                <w:b w:val="0"/>
                <w:sz w:val="14"/>
              </w:rPr>
              <w:t>c</w:t>
            </w:r>
          </w:p>
        </w:tc>
        <w:tc>
          <w:tcPr>
            <w:tcW w:type="dxa" w:w="1384"/>
            <w:vAlign w:val="center"/>
          </w:tcPr>
          <w:p>
            <w:pPr>
              <w:jc w:val="left"/>
            </w:pPr>
            <w:r/>
            <w:r>
              <w:rPr>
                <w:rFonts w:ascii="Arial" w:hAnsi="Arial"/>
                <w:b w:val="0"/>
                <w:sz w:val="14"/>
              </w:rPr>
              <w:t>Pengelolaan penerimaan, pengeluaran, kas, dan bank</w:t>
            </w:r>
          </w:p>
        </w:tc>
        <w:tc>
          <w:tcPr>
            <w:tcW w:type="dxa" w:w="1384"/>
            <w:vAlign w:val="center"/>
          </w:tcPr>
          <w:p>
            <w:pPr>
              <w:jc w:val="left"/>
            </w:pPr>
            <w:r/>
            <w:r>
              <w:rPr>
                <w:rFonts w:ascii="Arial" w:hAnsi="Arial"/>
                <w:b w:val="0"/>
                <w:sz w:val="14"/>
              </w:rPr>
              <w:t>Penerimaan dan pengeluaran tercatat, memiliki bukti, dan direkonsiliasi</w:t>
            </w:r>
          </w:p>
        </w:tc>
        <w:tc>
          <w:tcPr>
            <w:tcW w:type="dxa" w:w="1384"/>
            <w:vAlign w:val="center"/>
          </w:tcPr>
          <w:p>
            <w:pPr>
              <w:jc w:val="left"/>
            </w:pPr>
            <w:r/>
            <w:r>
              <w:rPr>
                <w:rFonts w:ascii="Arial" w:hAnsi="Arial"/>
                <w:b w:val="0"/>
                <w:sz w:val="14"/>
              </w:rPr>
              <w:t>Rekonsiliasi minimal bulanan</w:t>
            </w:r>
          </w:p>
        </w:tc>
        <w:tc>
          <w:tcPr>
            <w:tcW w:type="dxa" w:w="1384"/>
            <w:vAlign w:val="center"/>
          </w:tcPr>
          <w:p>
            <w:pPr>
              <w:jc w:val="left"/>
            </w:pPr>
            <w:r/>
            <w:r>
              <w:rPr>
                <w:rFonts w:ascii="Arial" w:hAnsi="Arial"/>
                <w:b w:val="0"/>
                <w:sz w:val="14"/>
              </w:rPr>
              <w:t>Kepala BAUK dan Bendahara</w:t>
            </w:r>
          </w:p>
        </w:tc>
        <w:tc>
          <w:tcPr>
            <w:tcW w:type="dxa" w:w="1384"/>
            <w:vAlign w:val="center"/>
          </w:tcPr>
          <w:p>
            <w:pPr>
              <w:jc w:val="left"/>
            </w:pPr>
            <w:r/>
            <w:r>
              <w:rPr>
                <w:rFonts w:ascii="Arial" w:hAnsi="Arial"/>
                <w:b w:val="0"/>
                <w:sz w:val="14"/>
              </w:rPr>
              <w:t>Sepanjang tahun</w:t>
            </w:r>
          </w:p>
        </w:tc>
        <w:tc>
          <w:tcPr>
            <w:tcW w:type="dxa" w:w="1384"/>
            <w:vAlign w:val="center"/>
          </w:tcPr>
          <w:p>
            <w:pPr>
              <w:jc w:val="left"/>
            </w:pPr>
            <w:r/>
            <w:r>
              <w:rPr>
                <w:rFonts w:ascii="Arial" w:hAnsi="Arial"/>
                <w:b w:val="0"/>
                <w:sz w:val="14"/>
              </w:rPr>
              <w:t>Rp7.500.000</w:t>
            </w:r>
          </w:p>
        </w:tc>
      </w:tr>
      <w:tr>
        <w:tc>
          <w:tcPr>
            <w:tcW w:type="dxa" w:w="1384"/>
            <w:vAlign w:val="center"/>
          </w:tcPr>
          <w:p>
            <w:pPr>
              <w:jc w:val="left"/>
            </w:pPr>
            <w:r/>
            <w:r>
              <w:rPr>
                <w:rFonts w:ascii="Arial" w:hAnsi="Arial"/>
                <w:b w:val="0"/>
                <w:sz w:val="14"/>
              </w:rPr>
              <w:t>d</w:t>
            </w:r>
          </w:p>
        </w:tc>
        <w:tc>
          <w:tcPr>
            <w:tcW w:type="dxa" w:w="1384"/>
            <w:vAlign w:val="center"/>
          </w:tcPr>
          <w:p>
            <w:pPr>
              <w:jc w:val="left"/>
            </w:pPr>
            <w:r/>
            <w:r>
              <w:rPr>
                <w:rFonts w:ascii="Arial" w:hAnsi="Arial"/>
                <w:b w:val="0"/>
                <w:sz w:val="14"/>
              </w:rPr>
              <w:t>Monitoring realisasi anggaran dan laporan keuangan</w:t>
            </w:r>
          </w:p>
        </w:tc>
        <w:tc>
          <w:tcPr>
            <w:tcW w:type="dxa" w:w="1384"/>
            <w:vAlign w:val="center"/>
          </w:tcPr>
          <w:p>
            <w:pPr>
              <w:jc w:val="left"/>
            </w:pPr>
            <w:r/>
            <w:r>
              <w:rPr>
                <w:rFonts w:ascii="Arial" w:hAnsi="Arial"/>
                <w:b w:val="0"/>
                <w:sz w:val="14"/>
              </w:rPr>
              <w:t>Tersedianya laporan realisasi, analisis deviasi, dan tindak lanjut</w:t>
            </w:r>
          </w:p>
        </w:tc>
        <w:tc>
          <w:tcPr>
            <w:tcW w:type="dxa" w:w="1384"/>
            <w:vAlign w:val="center"/>
          </w:tcPr>
          <w:p>
            <w:pPr>
              <w:jc w:val="left"/>
            </w:pPr>
            <w:r/>
            <w:r>
              <w:rPr>
                <w:rFonts w:ascii="Arial" w:hAnsi="Arial"/>
                <w:b w:val="0"/>
                <w:sz w:val="14"/>
              </w:rPr>
              <w:t>Minimal triwulanan dan tahunan</w:t>
            </w:r>
          </w:p>
        </w:tc>
        <w:tc>
          <w:tcPr>
            <w:tcW w:type="dxa" w:w="1384"/>
            <w:vAlign w:val="center"/>
          </w:tcPr>
          <w:p>
            <w:pPr>
              <w:jc w:val="left"/>
            </w:pPr>
            <w:r/>
            <w:r>
              <w:rPr>
                <w:rFonts w:ascii="Arial" w:hAnsi="Arial"/>
                <w:b w:val="0"/>
                <w:sz w:val="14"/>
              </w:rPr>
              <w:t>Kepala BAUK, Wakil Ketua Bidang Keuangan</w:t>
            </w:r>
          </w:p>
        </w:tc>
        <w:tc>
          <w:tcPr>
            <w:tcW w:type="dxa" w:w="1384"/>
            <w:vAlign w:val="center"/>
          </w:tcPr>
          <w:p>
            <w:pPr>
              <w:jc w:val="left"/>
            </w:pPr>
            <w:r/>
            <w:r>
              <w:rPr>
                <w:rFonts w:ascii="Arial" w:hAnsi="Arial"/>
                <w:b w:val="0"/>
                <w:sz w:val="14"/>
              </w:rPr>
              <w:t>Triwulanan</w:t>
            </w:r>
          </w:p>
        </w:tc>
        <w:tc>
          <w:tcPr>
            <w:tcW w:type="dxa" w:w="1384"/>
            <w:vAlign w:val="center"/>
          </w:tcPr>
          <w:p>
            <w:pPr>
              <w:jc w:val="left"/>
            </w:pPr>
            <w:r/>
            <w:r>
              <w:rPr>
                <w:rFonts w:ascii="Arial" w:hAnsi="Arial"/>
                <w:b w:val="0"/>
                <w:sz w:val="14"/>
              </w:rPr>
              <w:t>Rp5.000.000</w:t>
            </w:r>
          </w:p>
        </w:tc>
      </w:tr>
      <w:tr>
        <w:tc>
          <w:tcPr>
            <w:tcW w:type="dxa" w:w="1384"/>
            <w:vAlign w:val="center"/>
          </w:tcPr>
          <w:p>
            <w:pPr>
              <w:jc w:val="left"/>
            </w:pPr>
            <w:r/>
            <w:r>
              <w:rPr>
                <w:rFonts w:ascii="Arial" w:hAnsi="Arial"/>
                <w:b w:val="0"/>
                <w:sz w:val="14"/>
              </w:rPr>
              <w:t>e</w:t>
            </w:r>
          </w:p>
        </w:tc>
        <w:tc>
          <w:tcPr>
            <w:tcW w:type="dxa" w:w="1384"/>
            <w:vAlign w:val="center"/>
          </w:tcPr>
          <w:p>
            <w:pPr>
              <w:jc w:val="left"/>
            </w:pPr>
            <w:r/>
            <w:r>
              <w:rPr>
                <w:rFonts w:ascii="Arial" w:hAnsi="Arial"/>
                <w:b w:val="0"/>
                <w:sz w:val="14"/>
              </w:rPr>
              <w:t>Pengelolaan sarana prasarana dan aset</w:t>
            </w:r>
          </w:p>
        </w:tc>
        <w:tc>
          <w:tcPr>
            <w:tcW w:type="dxa" w:w="1384"/>
            <w:vAlign w:val="center"/>
          </w:tcPr>
          <w:p>
            <w:pPr>
              <w:jc w:val="left"/>
            </w:pPr>
            <w:r/>
            <w:r>
              <w:rPr>
                <w:rFonts w:ascii="Arial" w:hAnsi="Arial"/>
                <w:b w:val="0"/>
                <w:sz w:val="14"/>
              </w:rPr>
              <w:t>Inventaris, pemeliharaan, perbaikan minor, dan stock opname terlaksana</w:t>
            </w:r>
          </w:p>
        </w:tc>
        <w:tc>
          <w:tcPr>
            <w:tcW w:type="dxa" w:w="1384"/>
            <w:vAlign w:val="center"/>
          </w:tcPr>
          <w:p>
            <w:pPr>
              <w:jc w:val="left"/>
            </w:pPr>
            <w:r/>
            <w:r>
              <w:rPr>
                <w:rFonts w:ascii="Arial" w:hAnsi="Arial"/>
                <w:b w:val="0"/>
                <w:sz w:val="14"/>
              </w:rPr>
              <w:t>100% aset prioritas terdata</w:t>
            </w:r>
          </w:p>
        </w:tc>
        <w:tc>
          <w:tcPr>
            <w:tcW w:type="dxa" w:w="1384"/>
            <w:vAlign w:val="center"/>
          </w:tcPr>
          <w:p>
            <w:pPr>
              <w:jc w:val="left"/>
            </w:pPr>
            <w:r/>
            <w:r>
              <w:rPr>
                <w:rFonts w:ascii="Arial" w:hAnsi="Arial"/>
                <w:b w:val="0"/>
                <w:sz w:val="14"/>
              </w:rPr>
              <w:t>Kepala BAUK dan Petugas Aset</w:t>
            </w:r>
          </w:p>
        </w:tc>
        <w:tc>
          <w:tcPr>
            <w:tcW w:type="dxa" w:w="1384"/>
            <w:vAlign w:val="center"/>
          </w:tcPr>
          <w:p>
            <w:pPr>
              <w:jc w:val="left"/>
            </w:pPr>
            <w:r/>
            <w:r>
              <w:rPr>
                <w:rFonts w:ascii="Arial" w:hAnsi="Arial"/>
                <w:b w:val="0"/>
                <w:sz w:val="14"/>
              </w:rPr>
              <w:t>Sepanjang tahun</w:t>
            </w:r>
          </w:p>
        </w:tc>
        <w:tc>
          <w:tcPr>
            <w:tcW w:type="dxa" w:w="1384"/>
            <w:vAlign w:val="center"/>
          </w:tcPr>
          <w:p>
            <w:pPr>
              <w:jc w:val="left"/>
            </w:pPr>
            <w:r/>
            <w:r>
              <w:rPr>
                <w:rFonts w:ascii="Arial" w:hAnsi="Arial"/>
                <w:b w:val="0"/>
                <w:sz w:val="14"/>
              </w:rPr>
              <w:t>Rp25.000.000</w:t>
            </w:r>
          </w:p>
        </w:tc>
      </w:tr>
      <w:tr>
        <w:tc>
          <w:tcPr>
            <w:tcW w:type="dxa" w:w="1384"/>
            <w:vAlign w:val="center"/>
          </w:tcPr>
          <w:p>
            <w:pPr>
              <w:jc w:val="left"/>
            </w:pPr>
            <w:r/>
            <w:r>
              <w:rPr>
                <w:rFonts w:ascii="Arial" w:hAnsi="Arial"/>
                <w:b w:val="0"/>
                <w:sz w:val="14"/>
              </w:rPr>
              <w:t>f</w:t>
            </w:r>
          </w:p>
        </w:tc>
        <w:tc>
          <w:tcPr>
            <w:tcW w:type="dxa" w:w="1384"/>
            <w:vAlign w:val="center"/>
          </w:tcPr>
          <w:p>
            <w:pPr>
              <w:jc w:val="left"/>
            </w:pPr>
            <w:r/>
            <w:r>
              <w:rPr>
                <w:rFonts w:ascii="Arial" w:hAnsi="Arial"/>
                <w:b w:val="0"/>
                <w:sz w:val="14"/>
              </w:rPr>
              <w:t>Digitalisasi administrasi, arsip, dan data keuangan</w:t>
            </w:r>
          </w:p>
        </w:tc>
        <w:tc>
          <w:tcPr>
            <w:tcW w:type="dxa" w:w="1384"/>
            <w:vAlign w:val="center"/>
          </w:tcPr>
          <w:p>
            <w:pPr>
              <w:jc w:val="left"/>
            </w:pPr>
            <w:r/>
            <w:r>
              <w:rPr>
                <w:rFonts w:ascii="Arial" w:hAnsi="Arial"/>
                <w:b w:val="0"/>
                <w:sz w:val="14"/>
              </w:rPr>
              <w:t>Dokumen utama tersimpan secara digital dan mudah ditelusuri</w:t>
            </w:r>
          </w:p>
        </w:tc>
        <w:tc>
          <w:tcPr>
            <w:tcW w:type="dxa" w:w="1384"/>
            <w:vAlign w:val="center"/>
          </w:tcPr>
          <w:p>
            <w:pPr>
              <w:jc w:val="left"/>
            </w:pPr>
            <w:r/>
            <w:r>
              <w:rPr>
                <w:rFonts w:ascii="Arial" w:hAnsi="Arial"/>
                <w:b w:val="0"/>
                <w:sz w:val="14"/>
              </w:rPr>
              <w:t>Minimal folder arsip digital per bidang</w:t>
            </w:r>
          </w:p>
        </w:tc>
        <w:tc>
          <w:tcPr>
            <w:tcW w:type="dxa" w:w="1384"/>
            <w:vAlign w:val="center"/>
          </w:tcPr>
          <w:p>
            <w:pPr>
              <w:jc w:val="left"/>
            </w:pPr>
            <w:r/>
            <w:r>
              <w:rPr>
                <w:rFonts w:ascii="Arial" w:hAnsi="Arial"/>
                <w:b w:val="0"/>
                <w:sz w:val="14"/>
              </w:rPr>
              <w:t>Kepala BAUK dan Tim IT</w:t>
            </w:r>
          </w:p>
        </w:tc>
        <w:tc>
          <w:tcPr>
            <w:tcW w:type="dxa" w:w="1384"/>
            <w:vAlign w:val="center"/>
          </w:tcPr>
          <w:p>
            <w:pPr>
              <w:jc w:val="left"/>
            </w:pPr>
            <w:r/>
            <w:r>
              <w:rPr>
                <w:rFonts w:ascii="Arial" w:hAnsi="Arial"/>
                <w:b w:val="0"/>
                <w:sz w:val="14"/>
              </w:rPr>
              <w:t>Ganjil–Genap</w:t>
            </w:r>
          </w:p>
        </w:tc>
        <w:tc>
          <w:tcPr>
            <w:tcW w:type="dxa" w:w="1384"/>
            <w:vAlign w:val="center"/>
          </w:tcPr>
          <w:p>
            <w:pPr>
              <w:jc w:val="left"/>
            </w:pPr>
            <w:r/>
            <w:r>
              <w:rPr>
                <w:rFonts w:ascii="Arial" w:hAnsi="Arial"/>
                <w:b w:val="0"/>
                <w:sz w:val="14"/>
              </w:rPr>
              <w:t>Rp8.000.000</w:t>
            </w:r>
          </w:p>
        </w:tc>
      </w:tr>
      <w:tr>
        <w:tc>
          <w:tcPr>
            <w:tcW w:type="dxa" w:w="1384"/>
            <w:vAlign w:val="center"/>
          </w:tcPr>
          <w:p>
            <w:pPr>
              <w:jc w:val="left"/>
            </w:pPr>
            <w:r/>
            <w:r>
              <w:rPr>
                <w:rFonts w:ascii="Arial" w:hAnsi="Arial"/>
                <w:b w:val="0"/>
                <w:sz w:val="14"/>
              </w:rPr>
              <w:t>g</w:t>
            </w:r>
          </w:p>
        </w:tc>
        <w:tc>
          <w:tcPr>
            <w:tcW w:type="dxa" w:w="1384"/>
            <w:vAlign w:val="center"/>
          </w:tcPr>
          <w:p>
            <w:pPr>
              <w:jc w:val="left"/>
            </w:pPr>
            <w:r/>
            <w:r>
              <w:rPr>
                <w:rFonts w:ascii="Arial" w:hAnsi="Arial"/>
                <w:b w:val="0"/>
                <w:sz w:val="14"/>
              </w:rPr>
              <w:t>Penguatan SOP, formulir, dan dokumen SPMI bidang nonakademik</w:t>
            </w:r>
          </w:p>
        </w:tc>
        <w:tc>
          <w:tcPr>
            <w:tcW w:type="dxa" w:w="1384"/>
            <w:vAlign w:val="center"/>
          </w:tcPr>
          <w:p>
            <w:pPr>
              <w:jc w:val="left"/>
            </w:pPr>
            <w:r/>
            <w:r>
              <w:rPr>
                <w:rFonts w:ascii="Arial" w:hAnsi="Arial"/>
                <w:b w:val="0"/>
                <w:sz w:val="14"/>
              </w:rPr>
              <w:t>SOP/formulir BAUK disusun, diperiksa, dan ditetapkan</w:t>
            </w:r>
          </w:p>
        </w:tc>
        <w:tc>
          <w:tcPr>
            <w:tcW w:type="dxa" w:w="1384"/>
            <w:vAlign w:val="center"/>
          </w:tcPr>
          <w:p>
            <w:pPr>
              <w:jc w:val="left"/>
            </w:pPr>
            <w:r/>
            <w:r>
              <w:rPr>
                <w:rFonts w:ascii="Arial" w:hAnsi="Arial"/>
                <w:b w:val="0"/>
                <w:sz w:val="14"/>
              </w:rPr>
              <w:t>100% layanan prioritas memiliki dokumen kerja</w:t>
            </w:r>
          </w:p>
        </w:tc>
        <w:tc>
          <w:tcPr>
            <w:tcW w:type="dxa" w:w="1384"/>
            <w:vAlign w:val="center"/>
          </w:tcPr>
          <w:p>
            <w:pPr>
              <w:jc w:val="left"/>
            </w:pPr>
            <w:r/>
            <w:r>
              <w:rPr>
                <w:rFonts w:ascii="Arial" w:hAnsi="Arial"/>
                <w:b w:val="0"/>
                <w:sz w:val="14"/>
              </w:rPr>
              <w:t>Kepala BAUK dan LPM</w:t>
            </w:r>
          </w:p>
        </w:tc>
        <w:tc>
          <w:tcPr>
            <w:tcW w:type="dxa" w:w="1384"/>
            <w:vAlign w:val="center"/>
          </w:tcPr>
          <w:p>
            <w:pPr>
              <w:jc w:val="left"/>
            </w:pPr>
            <w:r/>
            <w:r>
              <w:rPr>
                <w:rFonts w:ascii="Arial" w:hAnsi="Arial"/>
                <w:b w:val="0"/>
                <w:sz w:val="14"/>
              </w:rPr>
              <w:t>Tahunan</w:t>
            </w:r>
          </w:p>
        </w:tc>
        <w:tc>
          <w:tcPr>
            <w:tcW w:type="dxa" w:w="1384"/>
            <w:vAlign w:val="center"/>
          </w:tcPr>
          <w:p>
            <w:pPr>
              <w:jc w:val="left"/>
            </w:pPr>
            <w:r/>
            <w:r>
              <w:rPr>
                <w:rFonts w:ascii="Arial" w:hAnsi="Arial"/>
                <w:b w:val="0"/>
                <w:sz w:val="14"/>
              </w:rPr>
              <w:t>Rp5.000.000</w:t>
            </w:r>
          </w:p>
        </w:tc>
      </w:tr>
      <w:tr>
        <w:tc>
          <w:tcPr>
            <w:tcW w:type="dxa" w:w="1384"/>
            <w:vAlign w:val="center"/>
          </w:tcPr>
          <w:p>
            <w:pPr>
              <w:jc w:val="left"/>
            </w:pPr>
            <w:r/>
            <w:r>
              <w:rPr>
                <w:rFonts w:ascii="Arial" w:hAnsi="Arial"/>
                <w:b w:val="0"/>
                <w:sz w:val="14"/>
              </w:rPr>
              <w:t>h</w:t>
            </w:r>
          </w:p>
        </w:tc>
        <w:tc>
          <w:tcPr>
            <w:tcW w:type="dxa" w:w="1384"/>
            <w:vAlign w:val="center"/>
          </w:tcPr>
          <w:p>
            <w:pPr>
              <w:jc w:val="left"/>
            </w:pPr>
            <w:r/>
            <w:r>
              <w:rPr>
                <w:rFonts w:ascii="Arial" w:hAnsi="Arial"/>
                <w:b w:val="0"/>
                <w:sz w:val="14"/>
              </w:rPr>
              <w:t>Peningkatan kompetensi tenaga kependidikan dan staf administrasi</w:t>
            </w:r>
          </w:p>
        </w:tc>
        <w:tc>
          <w:tcPr>
            <w:tcW w:type="dxa" w:w="1384"/>
            <w:vAlign w:val="center"/>
          </w:tcPr>
          <w:p>
            <w:pPr>
              <w:jc w:val="left"/>
            </w:pPr>
            <w:r/>
            <w:r>
              <w:rPr>
                <w:rFonts w:ascii="Arial" w:hAnsi="Arial"/>
                <w:b w:val="0"/>
                <w:sz w:val="14"/>
              </w:rPr>
              <w:t>Tendik mengikuti pelatihan administrasi, keuangan, arsip, layanan, atau digitalisasi</w:t>
            </w:r>
          </w:p>
        </w:tc>
        <w:tc>
          <w:tcPr>
            <w:tcW w:type="dxa" w:w="1384"/>
            <w:vAlign w:val="center"/>
          </w:tcPr>
          <w:p>
            <w:pPr>
              <w:jc w:val="left"/>
            </w:pPr>
            <w:r/>
            <w:r>
              <w:rPr>
                <w:rFonts w:ascii="Arial" w:hAnsi="Arial"/>
                <w:b w:val="0"/>
                <w:sz w:val="14"/>
              </w:rPr>
              <w:t>Minimal 2 kegiatan</w:t>
            </w:r>
          </w:p>
        </w:tc>
        <w:tc>
          <w:tcPr>
            <w:tcW w:type="dxa" w:w="1384"/>
            <w:vAlign w:val="center"/>
          </w:tcPr>
          <w:p>
            <w:pPr>
              <w:jc w:val="left"/>
            </w:pPr>
            <w:r/>
            <w:r>
              <w:rPr>
                <w:rFonts w:ascii="Arial" w:hAnsi="Arial"/>
                <w:b w:val="0"/>
                <w:sz w:val="14"/>
              </w:rPr>
              <w:t>Wakil Ketua Bidang Keuangan, Kepala BAUK</w:t>
            </w:r>
          </w:p>
        </w:tc>
        <w:tc>
          <w:tcPr>
            <w:tcW w:type="dxa" w:w="1384"/>
            <w:vAlign w:val="center"/>
          </w:tcPr>
          <w:p>
            <w:pPr>
              <w:jc w:val="left"/>
            </w:pPr>
            <w:r/>
            <w:r>
              <w:rPr>
                <w:rFonts w:ascii="Arial" w:hAnsi="Arial"/>
                <w:b w:val="0"/>
                <w:sz w:val="14"/>
              </w:rPr>
              <w:t>Tahunan</w:t>
            </w:r>
          </w:p>
        </w:tc>
        <w:tc>
          <w:tcPr>
            <w:tcW w:type="dxa" w:w="1384"/>
            <w:vAlign w:val="center"/>
          </w:tcPr>
          <w:p>
            <w:pPr>
              <w:jc w:val="left"/>
            </w:pPr>
            <w:r/>
            <w:r>
              <w:rPr>
                <w:rFonts w:ascii="Arial" w:hAnsi="Arial"/>
                <w:b w:val="0"/>
                <w:sz w:val="14"/>
              </w:rPr>
              <w:t>Rp10.000.000</w:t>
            </w:r>
          </w:p>
        </w:tc>
      </w:tr>
      <w:tr>
        <w:tc>
          <w:tcPr>
            <w:tcW w:type="dxa" w:w="1384"/>
            <w:vAlign w:val="center"/>
          </w:tcPr>
          <w:p>
            <w:pPr>
              <w:jc w:val="left"/>
            </w:pPr>
            <w:r/>
            <w:r>
              <w:rPr>
                <w:rFonts w:ascii="Arial" w:hAnsi="Arial"/>
                <w:b w:val="0"/>
                <w:sz w:val="14"/>
              </w:rPr>
              <w:t>i</w:t>
            </w:r>
          </w:p>
        </w:tc>
        <w:tc>
          <w:tcPr>
            <w:tcW w:type="dxa" w:w="1384"/>
            <w:vAlign w:val="center"/>
          </w:tcPr>
          <w:p>
            <w:pPr>
              <w:jc w:val="left"/>
            </w:pPr>
            <w:r/>
            <w:r>
              <w:rPr>
                <w:rFonts w:ascii="Arial" w:hAnsi="Arial"/>
                <w:b w:val="0"/>
                <w:sz w:val="14"/>
              </w:rPr>
              <w:t>Survei kepuasan layanan BAUK</w:t>
            </w:r>
          </w:p>
        </w:tc>
        <w:tc>
          <w:tcPr>
            <w:tcW w:type="dxa" w:w="1384"/>
            <w:vAlign w:val="center"/>
          </w:tcPr>
          <w:p>
            <w:pPr>
              <w:jc w:val="left"/>
            </w:pPr>
            <w:r/>
            <w:r>
              <w:rPr>
                <w:rFonts w:ascii="Arial" w:hAnsi="Arial"/>
                <w:b w:val="0"/>
                <w:sz w:val="14"/>
              </w:rPr>
              <w:t>Survei layanan dilakukan dan ditindaklanjuti</w:t>
            </w:r>
          </w:p>
        </w:tc>
        <w:tc>
          <w:tcPr>
            <w:tcW w:type="dxa" w:w="1384"/>
            <w:vAlign w:val="center"/>
          </w:tcPr>
          <w:p>
            <w:pPr>
              <w:jc w:val="left"/>
            </w:pPr>
            <w:r/>
            <w:r>
              <w:rPr>
                <w:rFonts w:ascii="Arial" w:hAnsi="Arial"/>
                <w:b w:val="0"/>
                <w:sz w:val="14"/>
              </w:rPr>
              <w:t>Minimal 1 kali per tahun</w:t>
            </w:r>
          </w:p>
        </w:tc>
        <w:tc>
          <w:tcPr>
            <w:tcW w:type="dxa" w:w="1384"/>
            <w:vAlign w:val="center"/>
          </w:tcPr>
          <w:p>
            <w:pPr>
              <w:jc w:val="left"/>
            </w:pPr>
            <w:r/>
            <w:r>
              <w:rPr>
                <w:rFonts w:ascii="Arial" w:hAnsi="Arial"/>
                <w:b w:val="0"/>
                <w:sz w:val="14"/>
              </w:rPr>
              <w:t>Kepala BAUK dan LPM</w:t>
            </w:r>
          </w:p>
        </w:tc>
        <w:tc>
          <w:tcPr>
            <w:tcW w:type="dxa" w:w="1384"/>
            <w:vAlign w:val="center"/>
          </w:tcPr>
          <w:p>
            <w:pPr>
              <w:jc w:val="left"/>
            </w:pPr>
            <w:r/>
            <w:r>
              <w:rPr>
                <w:rFonts w:ascii="Arial" w:hAnsi="Arial"/>
                <w:b w:val="0"/>
                <w:sz w:val="14"/>
              </w:rPr>
              <w:t>Akhir tahun</w:t>
            </w:r>
          </w:p>
        </w:tc>
        <w:tc>
          <w:tcPr>
            <w:tcW w:type="dxa" w:w="1384"/>
            <w:vAlign w:val="center"/>
          </w:tcPr>
          <w:p>
            <w:pPr>
              <w:jc w:val="left"/>
            </w:pPr>
            <w:r/>
            <w:r>
              <w:rPr>
                <w:rFonts w:ascii="Arial" w:hAnsi="Arial"/>
                <w:b w:val="0"/>
                <w:sz w:val="14"/>
              </w:rPr>
              <w:t>Rp2.000.000</w:t>
            </w:r>
          </w:p>
        </w:tc>
      </w:tr>
      <w:tr>
        <w:tc>
          <w:tcPr>
            <w:tcW w:type="dxa" w:w="1384"/>
            <w:vAlign w:val="center"/>
          </w:tcPr>
          <w:p>
            <w:pPr>
              <w:jc w:val="left"/>
            </w:pPr>
            <w:r/>
            <w:r>
              <w:rPr>
                <w:rFonts w:ascii="Arial" w:hAnsi="Arial"/>
                <w:b w:val="0"/>
                <w:sz w:val="14"/>
              </w:rPr>
              <w:t>j</w:t>
            </w:r>
          </w:p>
        </w:tc>
        <w:tc>
          <w:tcPr>
            <w:tcW w:type="dxa" w:w="1384"/>
            <w:vAlign w:val="center"/>
          </w:tcPr>
          <w:p>
            <w:pPr>
              <w:jc w:val="left"/>
            </w:pPr>
            <w:r/>
            <w:r>
              <w:rPr>
                <w:rFonts w:ascii="Arial" w:hAnsi="Arial"/>
                <w:b w:val="0"/>
                <w:sz w:val="14"/>
              </w:rPr>
              <w:t>Dukungan persiapan akreditasi institusi</w:t>
            </w:r>
          </w:p>
        </w:tc>
        <w:tc>
          <w:tcPr>
            <w:tcW w:type="dxa" w:w="1384"/>
            <w:vAlign w:val="center"/>
          </w:tcPr>
          <w:p>
            <w:pPr>
              <w:jc w:val="left"/>
            </w:pPr>
            <w:r/>
            <w:r>
              <w:rPr>
                <w:rFonts w:ascii="Arial" w:hAnsi="Arial"/>
                <w:b w:val="0"/>
                <w:sz w:val="14"/>
              </w:rPr>
              <w:t>Bukti BAUK tersusun, mudah diakses, dan sesuai daftar kebutuhan asesmen</w:t>
            </w:r>
          </w:p>
        </w:tc>
        <w:tc>
          <w:tcPr>
            <w:tcW w:type="dxa" w:w="1384"/>
            <w:vAlign w:val="center"/>
          </w:tcPr>
          <w:p>
            <w:pPr>
              <w:jc w:val="left"/>
            </w:pPr>
            <w:r/>
            <w:r>
              <w:rPr>
                <w:rFonts w:ascii="Arial" w:hAnsi="Arial"/>
                <w:b w:val="0"/>
                <w:sz w:val="14"/>
              </w:rPr>
              <w:t>100% dokumen prioritas siap ditampilkan</w:t>
            </w:r>
          </w:p>
        </w:tc>
        <w:tc>
          <w:tcPr>
            <w:tcW w:type="dxa" w:w="1384"/>
            <w:vAlign w:val="center"/>
          </w:tcPr>
          <w:p>
            <w:pPr>
              <w:jc w:val="left"/>
            </w:pPr>
            <w:r/>
            <w:r>
              <w:rPr>
                <w:rFonts w:ascii="Arial" w:hAnsi="Arial"/>
                <w:b w:val="0"/>
                <w:sz w:val="14"/>
              </w:rPr>
              <w:t>Kepala BAUK, LPM, Pimpinan</w:t>
            </w:r>
          </w:p>
        </w:tc>
        <w:tc>
          <w:tcPr>
            <w:tcW w:type="dxa" w:w="1384"/>
            <w:vAlign w:val="center"/>
          </w:tcPr>
          <w:p>
            <w:pPr>
              <w:jc w:val="left"/>
            </w:pPr>
            <w:r/>
            <w:r>
              <w:rPr>
                <w:rFonts w:ascii="Arial" w:hAnsi="Arial"/>
                <w:b w:val="0"/>
                <w:sz w:val="14"/>
              </w:rPr>
              <w:t>Sepanjang tahun</w:t>
            </w:r>
          </w:p>
        </w:tc>
        <w:tc>
          <w:tcPr>
            <w:tcW w:type="dxa" w:w="1384"/>
            <w:vAlign w:val="center"/>
          </w:tcPr>
          <w:p>
            <w:pPr>
              <w:jc w:val="left"/>
            </w:pPr>
            <w:r/>
            <w:r>
              <w:rPr>
                <w:rFonts w:ascii="Arial" w:hAnsi="Arial"/>
                <w:b w:val="0"/>
                <w:sz w:val="14"/>
              </w:rPr>
              <w:t>Rp7.500.000</w:t>
            </w:r>
          </w:p>
        </w:tc>
      </w:tr>
    </w:tbl>
    <w:p/>
    <w:tbl>
      <w:tblPr>
        <w:tblStyle w:val="TableGrid"/>
        <w:tblW w:type="auto" w:w="0"/>
        <w:jc w:val="center"/>
        <w:tblLook w:firstColumn="1" w:firstRow="1" w:lastColumn="0" w:lastRow="0" w:noHBand="0" w:noVBand="1" w:val="04A0"/>
      </w:tblPr>
      <w:tblGrid>
        <w:gridCol w:w="4844"/>
        <w:gridCol w:w="4844"/>
      </w:tblGrid>
      <w:tr>
        <w:tc>
          <w:tcPr>
            <w:tcW w:type="dxa" w:w="4844"/>
            <w:vAlign w:val="center"/>
            <w:shd w:fill="D9EAF7"/>
          </w:tcPr>
          <w:p>
            <w:pPr>
              <w:jc w:val="center"/>
            </w:pPr>
            <w:r/>
            <w:r>
              <w:rPr>
                <w:rFonts w:ascii="Arial" w:hAnsi="Arial"/>
                <w:b/>
                <w:sz w:val="16"/>
              </w:rPr>
              <w:t>Rekapitulasi Anggaran Indikatif BAUK</w:t>
            </w:r>
          </w:p>
        </w:tc>
        <w:tc>
          <w:tcPr>
            <w:tcW w:type="dxa" w:w="4844"/>
            <w:vAlign w:val="center"/>
            <w:shd w:fill="D9EAF7"/>
          </w:tcPr>
          <w:p>
            <w:pPr>
              <w:jc w:val="center"/>
            </w:pPr>
            <w:r/>
            <w:r>
              <w:rPr>
                <w:rFonts w:ascii="Arial" w:hAnsi="Arial"/>
                <w:b/>
                <w:sz w:val="16"/>
              </w:rPr>
              <w:t>Nilai</w:t>
            </w:r>
          </w:p>
        </w:tc>
      </w:tr>
      <w:tr>
        <w:tc>
          <w:tcPr>
            <w:tcW w:type="dxa" w:w="4844"/>
            <w:vAlign w:val="center"/>
          </w:tcPr>
          <w:p>
            <w:pPr>
              <w:jc w:val="left"/>
            </w:pPr>
            <w:r/>
            <w:r>
              <w:rPr>
                <w:rFonts w:ascii="Arial" w:hAnsi="Arial"/>
                <w:b w:val="0"/>
                <w:sz w:val="16"/>
              </w:rPr>
              <w:t>Penguatan tata kelola BAUK dan administrasi umum</w:t>
            </w:r>
          </w:p>
        </w:tc>
        <w:tc>
          <w:tcPr>
            <w:tcW w:type="dxa" w:w="4844"/>
            <w:vAlign w:val="center"/>
          </w:tcPr>
          <w:p>
            <w:pPr>
              <w:jc w:val="left"/>
            </w:pPr>
            <w:r/>
            <w:r>
              <w:rPr>
                <w:rFonts w:ascii="Arial" w:hAnsi="Arial"/>
                <w:b w:val="0"/>
                <w:sz w:val="16"/>
              </w:rPr>
              <w:t>Rp10.000.000</w:t>
            </w:r>
          </w:p>
        </w:tc>
      </w:tr>
      <w:tr>
        <w:tc>
          <w:tcPr>
            <w:tcW w:type="dxa" w:w="4844"/>
            <w:vAlign w:val="center"/>
          </w:tcPr>
          <w:p>
            <w:pPr>
              <w:jc w:val="left"/>
            </w:pPr>
            <w:r/>
            <w:r>
              <w:rPr>
                <w:rFonts w:ascii="Arial" w:hAnsi="Arial"/>
                <w:b w:val="0"/>
                <w:sz w:val="16"/>
              </w:rPr>
              <w:t>Sinkronisasi RKAT, RAB, dan pengajuan anggaran unit</w:t>
            </w:r>
          </w:p>
        </w:tc>
        <w:tc>
          <w:tcPr>
            <w:tcW w:type="dxa" w:w="4844"/>
            <w:vAlign w:val="center"/>
          </w:tcPr>
          <w:p>
            <w:pPr>
              <w:jc w:val="left"/>
            </w:pPr>
            <w:r/>
            <w:r>
              <w:rPr>
                <w:rFonts w:ascii="Arial" w:hAnsi="Arial"/>
                <w:b w:val="0"/>
                <w:sz w:val="16"/>
              </w:rPr>
              <w:t>Rp5.000.000</w:t>
            </w:r>
          </w:p>
        </w:tc>
      </w:tr>
      <w:tr>
        <w:tc>
          <w:tcPr>
            <w:tcW w:type="dxa" w:w="4844"/>
            <w:vAlign w:val="center"/>
          </w:tcPr>
          <w:p>
            <w:pPr>
              <w:jc w:val="left"/>
            </w:pPr>
            <w:r/>
            <w:r>
              <w:rPr>
                <w:rFonts w:ascii="Arial" w:hAnsi="Arial"/>
                <w:b w:val="0"/>
                <w:sz w:val="16"/>
              </w:rPr>
              <w:t>Pengelolaan penerimaan, pengeluaran, kas, dan bank</w:t>
            </w:r>
          </w:p>
        </w:tc>
        <w:tc>
          <w:tcPr>
            <w:tcW w:type="dxa" w:w="4844"/>
            <w:vAlign w:val="center"/>
          </w:tcPr>
          <w:p>
            <w:pPr>
              <w:jc w:val="left"/>
            </w:pPr>
            <w:r/>
            <w:r>
              <w:rPr>
                <w:rFonts w:ascii="Arial" w:hAnsi="Arial"/>
                <w:b w:val="0"/>
                <w:sz w:val="16"/>
              </w:rPr>
              <w:t>Rp7.500.000</w:t>
            </w:r>
          </w:p>
        </w:tc>
      </w:tr>
      <w:tr>
        <w:tc>
          <w:tcPr>
            <w:tcW w:type="dxa" w:w="4844"/>
            <w:vAlign w:val="center"/>
          </w:tcPr>
          <w:p>
            <w:pPr>
              <w:jc w:val="left"/>
            </w:pPr>
            <w:r/>
            <w:r>
              <w:rPr>
                <w:rFonts w:ascii="Arial" w:hAnsi="Arial"/>
                <w:b w:val="0"/>
                <w:sz w:val="16"/>
              </w:rPr>
              <w:t>Monitoring realisasi anggaran dan laporan keuangan</w:t>
            </w:r>
          </w:p>
        </w:tc>
        <w:tc>
          <w:tcPr>
            <w:tcW w:type="dxa" w:w="4844"/>
            <w:vAlign w:val="center"/>
          </w:tcPr>
          <w:p>
            <w:pPr>
              <w:jc w:val="left"/>
            </w:pPr>
            <w:r/>
            <w:r>
              <w:rPr>
                <w:rFonts w:ascii="Arial" w:hAnsi="Arial"/>
                <w:b w:val="0"/>
                <w:sz w:val="16"/>
              </w:rPr>
              <w:t>Rp5.000.000</w:t>
            </w:r>
          </w:p>
        </w:tc>
      </w:tr>
      <w:tr>
        <w:tc>
          <w:tcPr>
            <w:tcW w:type="dxa" w:w="4844"/>
            <w:vAlign w:val="center"/>
          </w:tcPr>
          <w:p>
            <w:pPr>
              <w:jc w:val="left"/>
            </w:pPr>
            <w:r/>
            <w:r>
              <w:rPr>
                <w:rFonts w:ascii="Arial" w:hAnsi="Arial"/>
                <w:b w:val="0"/>
                <w:sz w:val="16"/>
              </w:rPr>
              <w:t>Pengelolaan sarana prasarana dan aset</w:t>
            </w:r>
          </w:p>
        </w:tc>
        <w:tc>
          <w:tcPr>
            <w:tcW w:type="dxa" w:w="4844"/>
            <w:vAlign w:val="center"/>
          </w:tcPr>
          <w:p>
            <w:pPr>
              <w:jc w:val="left"/>
            </w:pPr>
            <w:r/>
            <w:r>
              <w:rPr>
                <w:rFonts w:ascii="Arial" w:hAnsi="Arial"/>
                <w:b w:val="0"/>
                <w:sz w:val="16"/>
              </w:rPr>
              <w:t>Rp25.000.000</w:t>
            </w:r>
          </w:p>
        </w:tc>
      </w:tr>
      <w:tr>
        <w:tc>
          <w:tcPr>
            <w:tcW w:type="dxa" w:w="4844"/>
            <w:vAlign w:val="center"/>
          </w:tcPr>
          <w:p>
            <w:pPr>
              <w:jc w:val="left"/>
            </w:pPr>
            <w:r/>
            <w:r>
              <w:rPr>
                <w:rFonts w:ascii="Arial" w:hAnsi="Arial"/>
                <w:b w:val="0"/>
                <w:sz w:val="16"/>
              </w:rPr>
              <w:t>Digitalisasi administrasi, arsip, dan data keuangan</w:t>
            </w:r>
          </w:p>
        </w:tc>
        <w:tc>
          <w:tcPr>
            <w:tcW w:type="dxa" w:w="4844"/>
            <w:vAlign w:val="center"/>
          </w:tcPr>
          <w:p>
            <w:pPr>
              <w:jc w:val="left"/>
            </w:pPr>
            <w:r/>
            <w:r>
              <w:rPr>
                <w:rFonts w:ascii="Arial" w:hAnsi="Arial"/>
                <w:b w:val="0"/>
                <w:sz w:val="16"/>
              </w:rPr>
              <w:t>Rp8.000.000</w:t>
            </w:r>
          </w:p>
        </w:tc>
      </w:tr>
      <w:tr>
        <w:tc>
          <w:tcPr>
            <w:tcW w:type="dxa" w:w="4844"/>
            <w:vAlign w:val="center"/>
          </w:tcPr>
          <w:p>
            <w:pPr>
              <w:jc w:val="left"/>
            </w:pPr>
            <w:r/>
            <w:r>
              <w:rPr>
                <w:rFonts w:ascii="Arial" w:hAnsi="Arial"/>
                <w:b w:val="0"/>
                <w:sz w:val="16"/>
              </w:rPr>
              <w:t>Penguatan SOP, formulir, dan dokumen SPMI bidang nonakademik</w:t>
            </w:r>
          </w:p>
        </w:tc>
        <w:tc>
          <w:tcPr>
            <w:tcW w:type="dxa" w:w="4844"/>
            <w:vAlign w:val="center"/>
          </w:tcPr>
          <w:p>
            <w:pPr>
              <w:jc w:val="left"/>
            </w:pPr>
            <w:r/>
            <w:r>
              <w:rPr>
                <w:rFonts w:ascii="Arial" w:hAnsi="Arial"/>
                <w:b w:val="0"/>
                <w:sz w:val="16"/>
              </w:rPr>
              <w:t>Rp5.000.000</w:t>
            </w:r>
          </w:p>
        </w:tc>
      </w:tr>
      <w:tr>
        <w:tc>
          <w:tcPr>
            <w:tcW w:type="dxa" w:w="4844"/>
            <w:vAlign w:val="center"/>
          </w:tcPr>
          <w:p>
            <w:pPr>
              <w:jc w:val="left"/>
            </w:pPr>
            <w:r/>
            <w:r>
              <w:rPr>
                <w:rFonts w:ascii="Arial" w:hAnsi="Arial"/>
                <w:b w:val="0"/>
                <w:sz w:val="16"/>
              </w:rPr>
              <w:t>Peningkatan kompetensi tenaga kependidikan dan staf administrasi</w:t>
            </w:r>
          </w:p>
        </w:tc>
        <w:tc>
          <w:tcPr>
            <w:tcW w:type="dxa" w:w="4844"/>
            <w:vAlign w:val="center"/>
          </w:tcPr>
          <w:p>
            <w:pPr>
              <w:jc w:val="left"/>
            </w:pPr>
            <w:r/>
            <w:r>
              <w:rPr>
                <w:rFonts w:ascii="Arial" w:hAnsi="Arial"/>
                <w:b w:val="0"/>
                <w:sz w:val="16"/>
              </w:rPr>
              <w:t>Rp10.000.000</w:t>
            </w:r>
          </w:p>
        </w:tc>
      </w:tr>
      <w:tr>
        <w:tc>
          <w:tcPr>
            <w:tcW w:type="dxa" w:w="4844"/>
            <w:vAlign w:val="center"/>
          </w:tcPr>
          <w:p>
            <w:pPr>
              <w:jc w:val="left"/>
            </w:pPr>
            <w:r/>
            <w:r>
              <w:rPr>
                <w:rFonts w:ascii="Arial" w:hAnsi="Arial"/>
                <w:b w:val="0"/>
                <w:sz w:val="16"/>
              </w:rPr>
              <w:t>Survei kepuasan layanan BAUK</w:t>
            </w:r>
          </w:p>
        </w:tc>
        <w:tc>
          <w:tcPr>
            <w:tcW w:type="dxa" w:w="4844"/>
            <w:vAlign w:val="center"/>
          </w:tcPr>
          <w:p>
            <w:pPr>
              <w:jc w:val="left"/>
            </w:pPr>
            <w:r/>
            <w:r>
              <w:rPr>
                <w:rFonts w:ascii="Arial" w:hAnsi="Arial"/>
                <w:b w:val="0"/>
                <w:sz w:val="16"/>
              </w:rPr>
              <w:t>Rp2.000.000</w:t>
            </w:r>
          </w:p>
        </w:tc>
      </w:tr>
      <w:tr>
        <w:tc>
          <w:tcPr>
            <w:tcW w:type="dxa" w:w="4844"/>
            <w:vAlign w:val="center"/>
          </w:tcPr>
          <w:p>
            <w:pPr>
              <w:jc w:val="left"/>
            </w:pPr>
            <w:r/>
            <w:r>
              <w:rPr>
                <w:rFonts w:ascii="Arial" w:hAnsi="Arial"/>
                <w:b w:val="0"/>
                <w:sz w:val="16"/>
              </w:rPr>
              <w:t>Dukungan persiapan akreditasi institusi</w:t>
            </w:r>
          </w:p>
        </w:tc>
        <w:tc>
          <w:tcPr>
            <w:tcW w:type="dxa" w:w="4844"/>
            <w:vAlign w:val="center"/>
          </w:tcPr>
          <w:p>
            <w:pPr>
              <w:jc w:val="left"/>
            </w:pPr>
            <w:r/>
            <w:r>
              <w:rPr>
                <w:rFonts w:ascii="Arial" w:hAnsi="Arial"/>
                <w:b w:val="0"/>
                <w:sz w:val="16"/>
              </w:rPr>
              <w:t>Rp7.500.000</w:t>
            </w:r>
          </w:p>
        </w:tc>
      </w:tr>
      <w:tr>
        <w:tc>
          <w:tcPr>
            <w:tcW w:type="dxa" w:w="4844"/>
            <w:vAlign w:val="center"/>
          </w:tcPr>
          <w:p>
            <w:pPr>
              <w:jc w:val="left"/>
            </w:pPr>
            <w:r/>
            <w:r>
              <w:rPr>
                <w:rFonts w:ascii="Arial" w:hAnsi="Arial"/>
                <w:b w:val="0"/>
                <w:sz w:val="16"/>
              </w:rPr>
              <w:t>TOTAL INDIKATIF</w:t>
            </w:r>
          </w:p>
        </w:tc>
        <w:tc>
          <w:tcPr>
            <w:tcW w:type="dxa" w:w="4844"/>
            <w:vAlign w:val="center"/>
          </w:tcPr>
          <w:p>
            <w:pPr>
              <w:jc w:val="left"/>
            </w:pPr>
            <w:r/>
            <w:r>
              <w:rPr>
                <w:rFonts w:ascii="Arial" w:hAnsi="Arial"/>
                <w:b w:val="0"/>
                <w:sz w:val="16"/>
              </w:rPr>
              <w:t>Rp85.000.000</w:t>
            </w:r>
          </w:p>
        </w:tc>
      </w:tr>
    </w:tbl>
    <w:p/>
    <w:p>
      <w:r>
        <w:t>Catatan: Total indikatif di atas merupakan usulan kebutuhan operasional BAUK untuk mendukung RENOP institusi. Nilai final harus mengikuti RKAT, kebijakan pimpinan, ketersediaan dana, dan mekanisme verifikasi yang berlaku.</w:t>
      </w:r>
    </w:p>
    <w:p>
      <w:r>
        <w:br w:type="page"/>
      </w:r>
    </w:p>
    <w:p>
      <w:pPr>
        <w:pStyle w:val="Heading1"/>
      </w:pPr>
      <w:r>
        <w:t>BAB IV</w:t>
        <w:br/>
        <w:t>INDIKATOR KINERJA, MONITORING, EVALUASI, DAN BUKTI AKREDITASI</w:t>
      </w:r>
    </w:p>
    <w:p>
      <w:pPr>
        <w:pStyle w:val="Heading2"/>
      </w:pPr>
      <w:r>
        <w:t>A. Indikator Kinerja Utama BAUK</w:t>
      </w:r>
    </w:p>
    <w:tbl>
      <w:tblPr>
        <w:tblStyle w:val="TableGrid"/>
        <w:tblW w:type="auto" w:w="0"/>
        <w:jc w:val="center"/>
        <w:tblLook w:firstColumn="1" w:firstRow="1" w:lastColumn="0" w:lastRow="0" w:noHBand="0" w:noVBand="1" w:val="04A0"/>
      </w:tblPr>
      <w:tblGrid>
        <w:gridCol w:w="2422"/>
        <w:gridCol w:w="2422"/>
        <w:gridCol w:w="2422"/>
        <w:gridCol w:w="2422"/>
      </w:tblGrid>
      <w:tr>
        <w:tc>
          <w:tcPr>
            <w:tcW w:type="dxa" w:w="2422"/>
            <w:vAlign w:val="center"/>
            <w:shd w:fill="D9EAF7"/>
          </w:tcPr>
          <w:p>
            <w:pPr>
              <w:jc w:val="center"/>
            </w:pPr>
            <w:r/>
            <w:r>
              <w:rPr>
                <w:rFonts w:ascii="Arial" w:hAnsi="Arial"/>
                <w:b/>
                <w:sz w:val="15"/>
              </w:rPr>
              <w:t>Urutan</w:t>
            </w:r>
          </w:p>
        </w:tc>
        <w:tc>
          <w:tcPr>
            <w:tcW w:type="dxa" w:w="2422"/>
            <w:vAlign w:val="center"/>
            <w:shd w:fill="D9EAF7"/>
          </w:tcPr>
          <w:p>
            <w:pPr>
              <w:jc w:val="center"/>
            </w:pPr>
            <w:r/>
            <w:r>
              <w:rPr>
                <w:rFonts w:ascii="Arial" w:hAnsi="Arial"/>
                <w:b/>
                <w:sz w:val="15"/>
              </w:rPr>
              <w:t>Indikator</w:t>
            </w:r>
          </w:p>
        </w:tc>
        <w:tc>
          <w:tcPr>
            <w:tcW w:type="dxa" w:w="2422"/>
            <w:vAlign w:val="center"/>
            <w:shd w:fill="D9EAF7"/>
          </w:tcPr>
          <w:p>
            <w:pPr>
              <w:jc w:val="center"/>
            </w:pPr>
            <w:r/>
            <w:r>
              <w:rPr>
                <w:rFonts w:ascii="Arial" w:hAnsi="Arial"/>
                <w:b/>
                <w:sz w:val="15"/>
              </w:rPr>
              <w:t>Target Internal 2024–2025</w:t>
            </w:r>
          </w:p>
        </w:tc>
        <w:tc>
          <w:tcPr>
            <w:tcW w:type="dxa" w:w="2422"/>
            <w:vAlign w:val="center"/>
            <w:shd w:fill="D9EAF7"/>
          </w:tcPr>
          <w:p>
            <w:pPr>
              <w:jc w:val="center"/>
            </w:pPr>
            <w:r/>
            <w:r>
              <w:rPr>
                <w:rFonts w:ascii="Arial" w:hAnsi="Arial"/>
                <w:b/>
                <w:sz w:val="15"/>
              </w:rPr>
              <w:t>Bukti</w:t>
            </w:r>
          </w:p>
        </w:tc>
      </w:tr>
      <w:tr>
        <w:tc>
          <w:tcPr>
            <w:tcW w:type="dxa" w:w="2422"/>
            <w:vAlign w:val="center"/>
          </w:tcPr>
          <w:p>
            <w:pPr>
              <w:jc w:val="left"/>
            </w:pPr>
            <w:r/>
            <w:r>
              <w:rPr>
                <w:rFonts w:ascii="Arial" w:hAnsi="Arial"/>
                <w:b w:val="0"/>
                <w:sz w:val="15"/>
              </w:rPr>
              <w:t>a</w:t>
            </w:r>
          </w:p>
        </w:tc>
        <w:tc>
          <w:tcPr>
            <w:tcW w:type="dxa" w:w="2422"/>
            <w:vAlign w:val="center"/>
          </w:tcPr>
          <w:p>
            <w:pPr>
              <w:jc w:val="left"/>
            </w:pPr>
            <w:r/>
            <w:r>
              <w:rPr>
                <w:rFonts w:ascii="Arial" w:hAnsi="Arial"/>
                <w:b w:val="0"/>
                <w:sz w:val="15"/>
              </w:rPr>
              <w:t>Tersedianya dokumen perencanaan unit BAUK</w:t>
            </w:r>
          </w:p>
        </w:tc>
        <w:tc>
          <w:tcPr>
            <w:tcW w:type="dxa" w:w="2422"/>
            <w:vAlign w:val="center"/>
          </w:tcPr>
          <w:p>
            <w:pPr>
              <w:jc w:val="left"/>
            </w:pPr>
            <w:r/>
            <w:r>
              <w:rPr>
                <w:rFonts w:ascii="Arial" w:hAnsi="Arial"/>
                <w:b w:val="0"/>
                <w:sz w:val="15"/>
              </w:rPr>
              <w:t>1 dokumen RENOP BAUK dan rencana kerja tahunan</w:t>
            </w:r>
          </w:p>
        </w:tc>
        <w:tc>
          <w:tcPr>
            <w:tcW w:type="dxa" w:w="2422"/>
            <w:vAlign w:val="center"/>
          </w:tcPr>
          <w:p>
            <w:pPr>
              <w:jc w:val="left"/>
            </w:pPr>
            <w:r/>
            <w:r>
              <w:rPr>
                <w:rFonts w:ascii="Arial" w:hAnsi="Arial"/>
                <w:b w:val="0"/>
                <w:sz w:val="15"/>
              </w:rPr>
              <w:t>RENOP BAUK, RAB/RKAT unit</w:t>
            </w:r>
          </w:p>
        </w:tc>
      </w:tr>
      <w:tr>
        <w:tc>
          <w:tcPr>
            <w:tcW w:type="dxa" w:w="2422"/>
            <w:vAlign w:val="center"/>
          </w:tcPr>
          <w:p>
            <w:pPr>
              <w:jc w:val="left"/>
            </w:pPr>
            <w:r/>
            <w:r>
              <w:rPr>
                <w:rFonts w:ascii="Arial" w:hAnsi="Arial"/>
                <w:b w:val="0"/>
                <w:sz w:val="15"/>
              </w:rPr>
              <w:t>b</w:t>
            </w:r>
          </w:p>
        </w:tc>
        <w:tc>
          <w:tcPr>
            <w:tcW w:type="dxa" w:w="2422"/>
            <w:vAlign w:val="center"/>
          </w:tcPr>
          <w:p>
            <w:pPr>
              <w:jc w:val="left"/>
            </w:pPr>
            <w:r/>
            <w:r>
              <w:rPr>
                <w:rFonts w:ascii="Arial" w:hAnsi="Arial"/>
                <w:b w:val="0"/>
                <w:sz w:val="15"/>
              </w:rPr>
              <w:t>Pengajuan anggaran terdokumentasi</w:t>
            </w:r>
          </w:p>
        </w:tc>
        <w:tc>
          <w:tcPr>
            <w:tcW w:type="dxa" w:w="2422"/>
            <w:vAlign w:val="center"/>
          </w:tcPr>
          <w:p>
            <w:pPr>
              <w:jc w:val="left"/>
            </w:pPr>
            <w:r/>
            <w:r>
              <w:rPr>
                <w:rFonts w:ascii="Arial" w:hAnsi="Arial"/>
                <w:b w:val="0"/>
                <w:sz w:val="15"/>
              </w:rPr>
              <w:t>100% pengajuan menggunakan formulir atau dokumen setara</w:t>
            </w:r>
          </w:p>
        </w:tc>
        <w:tc>
          <w:tcPr>
            <w:tcW w:type="dxa" w:w="2422"/>
            <w:vAlign w:val="center"/>
          </w:tcPr>
          <w:p>
            <w:pPr>
              <w:jc w:val="left"/>
            </w:pPr>
            <w:r/>
            <w:r>
              <w:rPr>
                <w:rFonts w:ascii="Arial" w:hAnsi="Arial"/>
                <w:b w:val="0"/>
                <w:sz w:val="15"/>
              </w:rPr>
              <w:t>Formulir pengajuan, RAB, persetujuan</w:t>
            </w:r>
          </w:p>
        </w:tc>
      </w:tr>
      <w:tr>
        <w:tc>
          <w:tcPr>
            <w:tcW w:type="dxa" w:w="2422"/>
            <w:vAlign w:val="center"/>
          </w:tcPr>
          <w:p>
            <w:pPr>
              <w:jc w:val="left"/>
            </w:pPr>
            <w:r/>
            <w:r>
              <w:rPr>
                <w:rFonts w:ascii="Arial" w:hAnsi="Arial"/>
                <w:b w:val="0"/>
                <w:sz w:val="15"/>
              </w:rPr>
              <w:t>c</w:t>
            </w:r>
          </w:p>
        </w:tc>
        <w:tc>
          <w:tcPr>
            <w:tcW w:type="dxa" w:w="2422"/>
            <w:vAlign w:val="center"/>
          </w:tcPr>
          <w:p>
            <w:pPr>
              <w:jc w:val="left"/>
            </w:pPr>
            <w:r/>
            <w:r>
              <w:rPr>
                <w:rFonts w:ascii="Arial" w:hAnsi="Arial"/>
                <w:b w:val="0"/>
                <w:sz w:val="15"/>
              </w:rPr>
              <w:t>Pencairan dana terotorisasi</w:t>
            </w:r>
          </w:p>
        </w:tc>
        <w:tc>
          <w:tcPr>
            <w:tcW w:type="dxa" w:w="2422"/>
            <w:vAlign w:val="center"/>
          </w:tcPr>
          <w:p>
            <w:pPr>
              <w:jc w:val="left"/>
            </w:pPr>
            <w:r/>
            <w:r>
              <w:rPr>
                <w:rFonts w:ascii="Arial" w:hAnsi="Arial"/>
                <w:b w:val="0"/>
                <w:sz w:val="15"/>
              </w:rPr>
              <w:t>100% pencairan memiliki dasar dan persetujuan</w:t>
            </w:r>
          </w:p>
        </w:tc>
        <w:tc>
          <w:tcPr>
            <w:tcW w:type="dxa" w:w="2422"/>
            <w:vAlign w:val="center"/>
          </w:tcPr>
          <w:p>
            <w:pPr>
              <w:jc w:val="left"/>
            </w:pPr>
            <w:r/>
            <w:r>
              <w:rPr>
                <w:rFonts w:ascii="Arial" w:hAnsi="Arial"/>
                <w:b w:val="0"/>
                <w:sz w:val="15"/>
              </w:rPr>
              <w:t>Formulir pencairan, bukti transfer, kuitansi</w:t>
            </w:r>
          </w:p>
        </w:tc>
      </w:tr>
      <w:tr>
        <w:tc>
          <w:tcPr>
            <w:tcW w:type="dxa" w:w="2422"/>
            <w:vAlign w:val="center"/>
          </w:tcPr>
          <w:p>
            <w:pPr>
              <w:jc w:val="left"/>
            </w:pPr>
            <w:r/>
            <w:r>
              <w:rPr>
                <w:rFonts w:ascii="Arial" w:hAnsi="Arial"/>
                <w:b w:val="0"/>
                <w:sz w:val="15"/>
              </w:rPr>
              <w:t>d</w:t>
            </w:r>
          </w:p>
        </w:tc>
        <w:tc>
          <w:tcPr>
            <w:tcW w:type="dxa" w:w="2422"/>
            <w:vAlign w:val="center"/>
          </w:tcPr>
          <w:p>
            <w:pPr>
              <w:jc w:val="left"/>
            </w:pPr>
            <w:r/>
            <w:r>
              <w:rPr>
                <w:rFonts w:ascii="Arial" w:hAnsi="Arial"/>
                <w:b w:val="0"/>
                <w:sz w:val="15"/>
              </w:rPr>
              <w:t>Pertanggungjawaban keuangan terkendali</w:t>
            </w:r>
          </w:p>
        </w:tc>
        <w:tc>
          <w:tcPr>
            <w:tcW w:type="dxa" w:w="2422"/>
            <w:vAlign w:val="center"/>
          </w:tcPr>
          <w:p>
            <w:pPr>
              <w:jc w:val="left"/>
            </w:pPr>
            <w:r/>
            <w:r>
              <w:rPr>
                <w:rFonts w:ascii="Arial" w:hAnsi="Arial"/>
                <w:b w:val="0"/>
                <w:sz w:val="15"/>
              </w:rPr>
              <w:t>100% penggunaan dana memiliki SPJ atau bukti pendukung</w:t>
            </w:r>
          </w:p>
        </w:tc>
        <w:tc>
          <w:tcPr>
            <w:tcW w:type="dxa" w:w="2422"/>
            <w:vAlign w:val="center"/>
          </w:tcPr>
          <w:p>
            <w:pPr>
              <w:jc w:val="left"/>
            </w:pPr>
            <w:r/>
            <w:r>
              <w:rPr>
                <w:rFonts w:ascii="Arial" w:hAnsi="Arial"/>
                <w:b w:val="0"/>
                <w:sz w:val="15"/>
              </w:rPr>
              <w:t>SPJ, nota, kuitansi, laporan kegiatan</w:t>
            </w:r>
          </w:p>
        </w:tc>
      </w:tr>
      <w:tr>
        <w:tc>
          <w:tcPr>
            <w:tcW w:type="dxa" w:w="2422"/>
            <w:vAlign w:val="center"/>
          </w:tcPr>
          <w:p>
            <w:pPr>
              <w:jc w:val="left"/>
            </w:pPr>
            <w:r/>
            <w:r>
              <w:rPr>
                <w:rFonts w:ascii="Arial" w:hAnsi="Arial"/>
                <w:b w:val="0"/>
                <w:sz w:val="15"/>
              </w:rPr>
              <w:t>e</w:t>
            </w:r>
          </w:p>
        </w:tc>
        <w:tc>
          <w:tcPr>
            <w:tcW w:type="dxa" w:w="2422"/>
            <w:vAlign w:val="center"/>
          </w:tcPr>
          <w:p>
            <w:pPr>
              <w:jc w:val="left"/>
            </w:pPr>
            <w:r/>
            <w:r>
              <w:rPr>
                <w:rFonts w:ascii="Arial" w:hAnsi="Arial"/>
                <w:b w:val="0"/>
                <w:sz w:val="15"/>
              </w:rPr>
              <w:t>Rekonsiliasi kas dan bank dilakukan</w:t>
            </w:r>
          </w:p>
        </w:tc>
        <w:tc>
          <w:tcPr>
            <w:tcW w:type="dxa" w:w="2422"/>
            <w:vAlign w:val="center"/>
          </w:tcPr>
          <w:p>
            <w:pPr>
              <w:jc w:val="left"/>
            </w:pPr>
            <w:r/>
            <w:r>
              <w:rPr>
                <w:rFonts w:ascii="Arial" w:hAnsi="Arial"/>
                <w:b w:val="0"/>
                <w:sz w:val="15"/>
              </w:rPr>
              <w:t>Minimal bulanan</w:t>
            </w:r>
          </w:p>
        </w:tc>
        <w:tc>
          <w:tcPr>
            <w:tcW w:type="dxa" w:w="2422"/>
            <w:vAlign w:val="center"/>
          </w:tcPr>
          <w:p>
            <w:pPr>
              <w:jc w:val="left"/>
            </w:pPr>
            <w:r/>
            <w:r>
              <w:rPr>
                <w:rFonts w:ascii="Arial" w:hAnsi="Arial"/>
                <w:b w:val="0"/>
                <w:sz w:val="15"/>
              </w:rPr>
              <w:t>Lembar rekonsiliasi, rekening koran</w:t>
            </w:r>
          </w:p>
        </w:tc>
      </w:tr>
      <w:tr>
        <w:tc>
          <w:tcPr>
            <w:tcW w:type="dxa" w:w="2422"/>
            <w:vAlign w:val="center"/>
          </w:tcPr>
          <w:p>
            <w:pPr>
              <w:jc w:val="left"/>
            </w:pPr>
            <w:r/>
            <w:r>
              <w:rPr>
                <w:rFonts w:ascii="Arial" w:hAnsi="Arial"/>
                <w:b w:val="0"/>
                <w:sz w:val="15"/>
              </w:rPr>
              <w:t>f</w:t>
            </w:r>
          </w:p>
        </w:tc>
        <w:tc>
          <w:tcPr>
            <w:tcW w:type="dxa" w:w="2422"/>
            <w:vAlign w:val="center"/>
          </w:tcPr>
          <w:p>
            <w:pPr>
              <w:jc w:val="left"/>
            </w:pPr>
            <w:r/>
            <w:r>
              <w:rPr>
                <w:rFonts w:ascii="Arial" w:hAnsi="Arial"/>
                <w:b w:val="0"/>
                <w:sz w:val="15"/>
              </w:rPr>
              <w:t>Monitoring realisasi anggaran dilakukan</w:t>
            </w:r>
          </w:p>
        </w:tc>
        <w:tc>
          <w:tcPr>
            <w:tcW w:type="dxa" w:w="2422"/>
            <w:vAlign w:val="center"/>
          </w:tcPr>
          <w:p>
            <w:pPr>
              <w:jc w:val="left"/>
            </w:pPr>
            <w:r/>
            <w:r>
              <w:rPr>
                <w:rFonts w:ascii="Arial" w:hAnsi="Arial"/>
                <w:b w:val="0"/>
                <w:sz w:val="15"/>
              </w:rPr>
              <w:t>Minimal triwulanan</w:t>
            </w:r>
          </w:p>
        </w:tc>
        <w:tc>
          <w:tcPr>
            <w:tcW w:type="dxa" w:w="2422"/>
            <w:vAlign w:val="center"/>
          </w:tcPr>
          <w:p>
            <w:pPr>
              <w:jc w:val="left"/>
            </w:pPr>
            <w:r/>
            <w:r>
              <w:rPr>
                <w:rFonts w:ascii="Arial" w:hAnsi="Arial"/>
                <w:b w:val="0"/>
                <w:sz w:val="15"/>
              </w:rPr>
              <w:t>Formulir monitoring, laporan deviasi</w:t>
            </w:r>
          </w:p>
        </w:tc>
      </w:tr>
      <w:tr>
        <w:tc>
          <w:tcPr>
            <w:tcW w:type="dxa" w:w="2422"/>
            <w:vAlign w:val="center"/>
          </w:tcPr>
          <w:p>
            <w:pPr>
              <w:jc w:val="left"/>
            </w:pPr>
            <w:r/>
            <w:r>
              <w:rPr>
                <w:rFonts w:ascii="Arial" w:hAnsi="Arial"/>
                <w:b w:val="0"/>
                <w:sz w:val="15"/>
              </w:rPr>
              <w:t>g</w:t>
            </w:r>
          </w:p>
        </w:tc>
        <w:tc>
          <w:tcPr>
            <w:tcW w:type="dxa" w:w="2422"/>
            <w:vAlign w:val="center"/>
          </w:tcPr>
          <w:p>
            <w:pPr>
              <w:jc w:val="left"/>
            </w:pPr>
            <w:r/>
            <w:r>
              <w:rPr>
                <w:rFonts w:ascii="Arial" w:hAnsi="Arial"/>
                <w:b w:val="0"/>
                <w:sz w:val="15"/>
              </w:rPr>
              <w:t>Inventaris dan aset diperbarui</w:t>
            </w:r>
          </w:p>
        </w:tc>
        <w:tc>
          <w:tcPr>
            <w:tcW w:type="dxa" w:w="2422"/>
            <w:vAlign w:val="center"/>
          </w:tcPr>
          <w:p>
            <w:pPr>
              <w:jc w:val="left"/>
            </w:pPr>
            <w:r/>
            <w:r>
              <w:rPr>
                <w:rFonts w:ascii="Arial" w:hAnsi="Arial"/>
                <w:b w:val="0"/>
                <w:sz w:val="15"/>
              </w:rPr>
              <w:t>Minimal tahunan</w:t>
            </w:r>
          </w:p>
        </w:tc>
        <w:tc>
          <w:tcPr>
            <w:tcW w:type="dxa" w:w="2422"/>
            <w:vAlign w:val="center"/>
          </w:tcPr>
          <w:p>
            <w:pPr>
              <w:jc w:val="left"/>
            </w:pPr>
            <w:r/>
            <w:r>
              <w:rPr>
                <w:rFonts w:ascii="Arial" w:hAnsi="Arial"/>
                <w:b w:val="0"/>
                <w:sz w:val="15"/>
              </w:rPr>
              <w:t>Daftar inventaris, berita acara stock opname</w:t>
            </w:r>
          </w:p>
        </w:tc>
      </w:tr>
      <w:tr>
        <w:tc>
          <w:tcPr>
            <w:tcW w:type="dxa" w:w="2422"/>
            <w:vAlign w:val="center"/>
          </w:tcPr>
          <w:p>
            <w:pPr>
              <w:jc w:val="left"/>
            </w:pPr>
            <w:r/>
            <w:r>
              <w:rPr>
                <w:rFonts w:ascii="Arial" w:hAnsi="Arial"/>
                <w:b w:val="0"/>
                <w:sz w:val="15"/>
              </w:rPr>
              <w:t>h</w:t>
            </w:r>
          </w:p>
        </w:tc>
        <w:tc>
          <w:tcPr>
            <w:tcW w:type="dxa" w:w="2422"/>
            <w:vAlign w:val="center"/>
          </w:tcPr>
          <w:p>
            <w:pPr>
              <w:jc w:val="left"/>
            </w:pPr>
            <w:r/>
            <w:r>
              <w:rPr>
                <w:rFonts w:ascii="Arial" w:hAnsi="Arial"/>
                <w:b w:val="0"/>
                <w:sz w:val="15"/>
              </w:rPr>
              <w:t>Survei kepuasan layanan dilaksanakan</w:t>
            </w:r>
          </w:p>
        </w:tc>
        <w:tc>
          <w:tcPr>
            <w:tcW w:type="dxa" w:w="2422"/>
            <w:vAlign w:val="center"/>
          </w:tcPr>
          <w:p>
            <w:pPr>
              <w:jc w:val="left"/>
            </w:pPr>
            <w:r/>
            <w:r>
              <w:rPr>
                <w:rFonts w:ascii="Arial" w:hAnsi="Arial"/>
                <w:b w:val="0"/>
                <w:sz w:val="15"/>
              </w:rPr>
              <w:t>Minimal 1 kali per tahun</w:t>
            </w:r>
          </w:p>
        </w:tc>
        <w:tc>
          <w:tcPr>
            <w:tcW w:type="dxa" w:w="2422"/>
            <w:vAlign w:val="center"/>
          </w:tcPr>
          <w:p>
            <w:pPr>
              <w:jc w:val="left"/>
            </w:pPr>
            <w:r/>
            <w:r>
              <w:rPr>
                <w:rFonts w:ascii="Arial" w:hAnsi="Arial"/>
                <w:b w:val="0"/>
                <w:sz w:val="15"/>
              </w:rPr>
              <w:t>Instrumen survei, hasil, analisis, tindak lanjut</w:t>
            </w:r>
          </w:p>
        </w:tc>
      </w:tr>
      <w:tr>
        <w:tc>
          <w:tcPr>
            <w:tcW w:type="dxa" w:w="2422"/>
            <w:vAlign w:val="center"/>
          </w:tcPr>
          <w:p>
            <w:pPr>
              <w:jc w:val="left"/>
            </w:pPr>
            <w:r/>
            <w:r>
              <w:rPr>
                <w:rFonts w:ascii="Arial" w:hAnsi="Arial"/>
                <w:b w:val="0"/>
                <w:sz w:val="15"/>
              </w:rPr>
              <w:t>i</w:t>
            </w:r>
          </w:p>
        </w:tc>
        <w:tc>
          <w:tcPr>
            <w:tcW w:type="dxa" w:w="2422"/>
            <w:vAlign w:val="center"/>
          </w:tcPr>
          <w:p>
            <w:pPr>
              <w:jc w:val="left"/>
            </w:pPr>
            <w:r/>
            <w:r>
              <w:rPr>
                <w:rFonts w:ascii="Arial" w:hAnsi="Arial"/>
                <w:b w:val="0"/>
                <w:sz w:val="15"/>
              </w:rPr>
              <w:t>Dokumen SPMI dan akreditasi BAUK siap ditampilkan</w:t>
            </w:r>
          </w:p>
        </w:tc>
        <w:tc>
          <w:tcPr>
            <w:tcW w:type="dxa" w:w="2422"/>
            <w:vAlign w:val="center"/>
          </w:tcPr>
          <w:p>
            <w:pPr>
              <w:jc w:val="left"/>
            </w:pPr>
            <w:r/>
            <w:r>
              <w:rPr>
                <w:rFonts w:ascii="Arial" w:hAnsi="Arial"/>
                <w:b w:val="0"/>
                <w:sz w:val="15"/>
              </w:rPr>
              <w:t>100% dokumen prioritas tersedia</w:t>
            </w:r>
          </w:p>
        </w:tc>
        <w:tc>
          <w:tcPr>
            <w:tcW w:type="dxa" w:w="2422"/>
            <w:vAlign w:val="center"/>
          </w:tcPr>
          <w:p>
            <w:pPr>
              <w:jc w:val="left"/>
            </w:pPr>
            <w:r/>
            <w:r>
              <w:rPr>
                <w:rFonts w:ascii="Arial" w:hAnsi="Arial"/>
                <w:b w:val="0"/>
                <w:sz w:val="15"/>
              </w:rPr>
              <w:t>Daftar bukti, folder arsip, dokumen final</w:t>
            </w:r>
          </w:p>
        </w:tc>
      </w:tr>
    </w:tbl>
    <w:p/>
    <w:p>
      <w:pPr>
        <w:pStyle w:val="Heading2"/>
      </w:pPr>
      <w:r>
        <w:t>B. Jadwal Monitoring dan Evaluasi</w:t>
      </w:r>
    </w:p>
    <w:tbl>
      <w:tblPr>
        <w:tblStyle w:val="TableGrid"/>
        <w:tblW w:type="auto" w:w="0"/>
        <w:jc w:val="center"/>
        <w:tblLook w:firstColumn="1" w:firstRow="1" w:lastColumn="0" w:lastRow="0" w:noHBand="0" w:noVBand="1" w:val="04A0"/>
      </w:tblPr>
      <w:tblGrid>
        <w:gridCol w:w="2422"/>
        <w:gridCol w:w="2422"/>
        <w:gridCol w:w="2422"/>
        <w:gridCol w:w="2422"/>
      </w:tblGrid>
      <w:tr>
        <w:tc>
          <w:tcPr>
            <w:tcW w:type="dxa" w:w="2422"/>
            <w:vAlign w:val="center"/>
            <w:shd w:fill="D9EAF7"/>
          </w:tcPr>
          <w:p>
            <w:pPr>
              <w:jc w:val="center"/>
            </w:pPr>
            <w:r/>
            <w:r>
              <w:rPr>
                <w:rFonts w:ascii="Arial" w:hAnsi="Arial"/>
                <w:b/>
                <w:sz w:val="15"/>
              </w:rPr>
              <w:t>Kegiatan Monitoring</w:t>
            </w:r>
          </w:p>
        </w:tc>
        <w:tc>
          <w:tcPr>
            <w:tcW w:type="dxa" w:w="2422"/>
            <w:vAlign w:val="center"/>
            <w:shd w:fill="D9EAF7"/>
          </w:tcPr>
          <w:p>
            <w:pPr>
              <w:jc w:val="center"/>
            </w:pPr>
            <w:r/>
            <w:r>
              <w:rPr>
                <w:rFonts w:ascii="Arial" w:hAnsi="Arial"/>
                <w:b/>
                <w:sz w:val="15"/>
              </w:rPr>
              <w:t>Frekuensi</w:t>
            </w:r>
          </w:p>
        </w:tc>
        <w:tc>
          <w:tcPr>
            <w:tcW w:type="dxa" w:w="2422"/>
            <w:vAlign w:val="center"/>
            <w:shd w:fill="D9EAF7"/>
          </w:tcPr>
          <w:p>
            <w:pPr>
              <w:jc w:val="center"/>
            </w:pPr>
            <w:r/>
            <w:r>
              <w:rPr>
                <w:rFonts w:ascii="Arial" w:hAnsi="Arial"/>
                <w:b/>
                <w:sz w:val="15"/>
              </w:rPr>
              <w:t>Penanggung Jawab</w:t>
            </w:r>
          </w:p>
        </w:tc>
        <w:tc>
          <w:tcPr>
            <w:tcW w:type="dxa" w:w="2422"/>
            <w:vAlign w:val="center"/>
            <w:shd w:fill="D9EAF7"/>
          </w:tcPr>
          <w:p>
            <w:pPr>
              <w:jc w:val="center"/>
            </w:pPr>
            <w:r/>
            <w:r>
              <w:rPr>
                <w:rFonts w:ascii="Arial" w:hAnsi="Arial"/>
                <w:b/>
                <w:sz w:val="15"/>
              </w:rPr>
              <w:t>Output</w:t>
            </w:r>
          </w:p>
        </w:tc>
      </w:tr>
      <w:tr>
        <w:tc>
          <w:tcPr>
            <w:tcW w:type="dxa" w:w="2422"/>
            <w:vAlign w:val="center"/>
          </w:tcPr>
          <w:p>
            <w:pPr>
              <w:jc w:val="left"/>
            </w:pPr>
            <w:r/>
            <w:r>
              <w:rPr>
                <w:rFonts w:ascii="Arial" w:hAnsi="Arial"/>
                <w:b w:val="0"/>
                <w:sz w:val="15"/>
              </w:rPr>
              <w:t>Monitoring realisasi anggaran</w:t>
            </w:r>
          </w:p>
        </w:tc>
        <w:tc>
          <w:tcPr>
            <w:tcW w:type="dxa" w:w="2422"/>
            <w:vAlign w:val="center"/>
          </w:tcPr>
          <w:p>
            <w:pPr>
              <w:jc w:val="left"/>
            </w:pPr>
            <w:r/>
            <w:r>
              <w:rPr>
                <w:rFonts w:ascii="Arial" w:hAnsi="Arial"/>
                <w:b w:val="0"/>
                <w:sz w:val="15"/>
              </w:rPr>
              <w:t>Triwulanan</w:t>
            </w:r>
          </w:p>
        </w:tc>
        <w:tc>
          <w:tcPr>
            <w:tcW w:type="dxa" w:w="2422"/>
            <w:vAlign w:val="center"/>
          </w:tcPr>
          <w:p>
            <w:pPr>
              <w:jc w:val="left"/>
            </w:pPr>
            <w:r/>
            <w:r>
              <w:rPr>
                <w:rFonts w:ascii="Arial" w:hAnsi="Arial"/>
                <w:b w:val="0"/>
                <w:sz w:val="15"/>
              </w:rPr>
              <w:t>Kepala BAUK dan Wakil Ketua Bidang Keuangan</w:t>
            </w:r>
          </w:p>
        </w:tc>
        <w:tc>
          <w:tcPr>
            <w:tcW w:type="dxa" w:w="2422"/>
            <w:vAlign w:val="center"/>
          </w:tcPr>
          <w:p>
            <w:pPr>
              <w:jc w:val="left"/>
            </w:pPr>
            <w:r/>
            <w:r>
              <w:rPr>
                <w:rFonts w:ascii="Arial" w:hAnsi="Arial"/>
                <w:b w:val="0"/>
                <w:sz w:val="15"/>
              </w:rPr>
              <w:t>Laporan realisasi dan analisis deviasi</w:t>
            </w:r>
          </w:p>
        </w:tc>
      </w:tr>
      <w:tr>
        <w:tc>
          <w:tcPr>
            <w:tcW w:type="dxa" w:w="2422"/>
            <w:vAlign w:val="center"/>
          </w:tcPr>
          <w:p>
            <w:pPr>
              <w:jc w:val="left"/>
            </w:pPr>
            <w:r/>
            <w:r>
              <w:rPr>
                <w:rFonts w:ascii="Arial" w:hAnsi="Arial"/>
                <w:b w:val="0"/>
                <w:sz w:val="15"/>
              </w:rPr>
              <w:t>Rekonsiliasi kas dan bank</w:t>
            </w:r>
          </w:p>
        </w:tc>
        <w:tc>
          <w:tcPr>
            <w:tcW w:type="dxa" w:w="2422"/>
            <w:vAlign w:val="center"/>
          </w:tcPr>
          <w:p>
            <w:pPr>
              <w:jc w:val="left"/>
            </w:pPr>
            <w:r/>
            <w:r>
              <w:rPr>
                <w:rFonts w:ascii="Arial" w:hAnsi="Arial"/>
                <w:b w:val="0"/>
                <w:sz w:val="15"/>
              </w:rPr>
              <w:t>Bulanan</w:t>
            </w:r>
          </w:p>
        </w:tc>
        <w:tc>
          <w:tcPr>
            <w:tcW w:type="dxa" w:w="2422"/>
            <w:vAlign w:val="center"/>
          </w:tcPr>
          <w:p>
            <w:pPr>
              <w:jc w:val="left"/>
            </w:pPr>
            <w:r/>
            <w:r>
              <w:rPr>
                <w:rFonts w:ascii="Arial" w:hAnsi="Arial"/>
                <w:b w:val="0"/>
                <w:sz w:val="15"/>
              </w:rPr>
              <w:t>Bagian Keuangan dan Kepala BAUK</w:t>
            </w:r>
          </w:p>
        </w:tc>
        <w:tc>
          <w:tcPr>
            <w:tcW w:type="dxa" w:w="2422"/>
            <w:vAlign w:val="center"/>
          </w:tcPr>
          <w:p>
            <w:pPr>
              <w:jc w:val="left"/>
            </w:pPr>
            <w:r/>
            <w:r>
              <w:rPr>
                <w:rFonts w:ascii="Arial" w:hAnsi="Arial"/>
                <w:b w:val="0"/>
                <w:sz w:val="15"/>
              </w:rPr>
              <w:t>Lembar rekonsiliasi</w:t>
            </w:r>
          </w:p>
        </w:tc>
      </w:tr>
      <w:tr>
        <w:tc>
          <w:tcPr>
            <w:tcW w:type="dxa" w:w="2422"/>
            <w:vAlign w:val="center"/>
          </w:tcPr>
          <w:p>
            <w:pPr>
              <w:jc w:val="left"/>
            </w:pPr>
            <w:r/>
            <w:r>
              <w:rPr>
                <w:rFonts w:ascii="Arial" w:hAnsi="Arial"/>
                <w:b w:val="0"/>
                <w:sz w:val="15"/>
              </w:rPr>
              <w:t>Evaluasi SPJ dan bukti transaksi</w:t>
            </w:r>
          </w:p>
        </w:tc>
        <w:tc>
          <w:tcPr>
            <w:tcW w:type="dxa" w:w="2422"/>
            <w:vAlign w:val="center"/>
          </w:tcPr>
          <w:p>
            <w:pPr>
              <w:jc w:val="left"/>
            </w:pPr>
            <w:r/>
            <w:r>
              <w:rPr>
                <w:rFonts w:ascii="Arial" w:hAnsi="Arial"/>
                <w:b w:val="0"/>
                <w:sz w:val="15"/>
              </w:rPr>
              <w:t>Bulanan atau sesuai kegiatan</w:t>
            </w:r>
          </w:p>
        </w:tc>
        <w:tc>
          <w:tcPr>
            <w:tcW w:type="dxa" w:w="2422"/>
            <w:vAlign w:val="center"/>
          </w:tcPr>
          <w:p>
            <w:pPr>
              <w:jc w:val="left"/>
            </w:pPr>
            <w:r/>
            <w:r>
              <w:rPr>
                <w:rFonts w:ascii="Arial" w:hAnsi="Arial"/>
                <w:b w:val="0"/>
                <w:sz w:val="15"/>
              </w:rPr>
              <w:t>Bagian Keuangan</w:t>
            </w:r>
          </w:p>
        </w:tc>
        <w:tc>
          <w:tcPr>
            <w:tcW w:type="dxa" w:w="2422"/>
            <w:vAlign w:val="center"/>
          </w:tcPr>
          <w:p>
            <w:pPr>
              <w:jc w:val="left"/>
            </w:pPr>
            <w:r/>
            <w:r>
              <w:rPr>
                <w:rFonts w:ascii="Arial" w:hAnsi="Arial"/>
                <w:b w:val="0"/>
                <w:sz w:val="15"/>
              </w:rPr>
              <w:t>Daftar SPJ selesai/belum selesai</w:t>
            </w:r>
          </w:p>
        </w:tc>
      </w:tr>
      <w:tr>
        <w:tc>
          <w:tcPr>
            <w:tcW w:type="dxa" w:w="2422"/>
            <w:vAlign w:val="center"/>
          </w:tcPr>
          <w:p>
            <w:pPr>
              <w:jc w:val="left"/>
            </w:pPr>
            <w:r/>
            <w:r>
              <w:rPr>
                <w:rFonts w:ascii="Arial" w:hAnsi="Arial"/>
                <w:b w:val="0"/>
                <w:sz w:val="15"/>
              </w:rPr>
              <w:t>Evaluasi layanan BAUK</w:t>
            </w:r>
          </w:p>
        </w:tc>
        <w:tc>
          <w:tcPr>
            <w:tcW w:type="dxa" w:w="2422"/>
            <w:vAlign w:val="center"/>
          </w:tcPr>
          <w:p>
            <w:pPr>
              <w:jc w:val="left"/>
            </w:pPr>
            <w:r/>
            <w:r>
              <w:rPr>
                <w:rFonts w:ascii="Arial" w:hAnsi="Arial"/>
                <w:b w:val="0"/>
                <w:sz w:val="15"/>
              </w:rPr>
              <w:t>Semesteran atau tahunan</w:t>
            </w:r>
          </w:p>
        </w:tc>
        <w:tc>
          <w:tcPr>
            <w:tcW w:type="dxa" w:w="2422"/>
            <w:vAlign w:val="center"/>
          </w:tcPr>
          <w:p>
            <w:pPr>
              <w:jc w:val="left"/>
            </w:pPr>
            <w:r/>
            <w:r>
              <w:rPr>
                <w:rFonts w:ascii="Arial" w:hAnsi="Arial"/>
                <w:b w:val="0"/>
                <w:sz w:val="15"/>
              </w:rPr>
              <w:t>Kepala BAUK dan LPM</w:t>
            </w:r>
          </w:p>
        </w:tc>
        <w:tc>
          <w:tcPr>
            <w:tcW w:type="dxa" w:w="2422"/>
            <w:vAlign w:val="center"/>
          </w:tcPr>
          <w:p>
            <w:pPr>
              <w:jc w:val="left"/>
            </w:pPr>
            <w:r/>
            <w:r>
              <w:rPr>
                <w:rFonts w:ascii="Arial" w:hAnsi="Arial"/>
                <w:b w:val="0"/>
                <w:sz w:val="15"/>
              </w:rPr>
              <w:t>Hasil survei dan tindak lanjut</w:t>
            </w:r>
          </w:p>
        </w:tc>
      </w:tr>
      <w:tr>
        <w:tc>
          <w:tcPr>
            <w:tcW w:type="dxa" w:w="2422"/>
            <w:vAlign w:val="center"/>
          </w:tcPr>
          <w:p>
            <w:pPr>
              <w:jc w:val="left"/>
            </w:pPr>
            <w:r/>
            <w:r>
              <w:rPr>
                <w:rFonts w:ascii="Arial" w:hAnsi="Arial"/>
                <w:b w:val="0"/>
                <w:sz w:val="15"/>
              </w:rPr>
              <w:t>Evaluasi inventaris dan aset</w:t>
            </w:r>
          </w:p>
        </w:tc>
        <w:tc>
          <w:tcPr>
            <w:tcW w:type="dxa" w:w="2422"/>
            <w:vAlign w:val="center"/>
          </w:tcPr>
          <w:p>
            <w:pPr>
              <w:jc w:val="left"/>
            </w:pPr>
            <w:r/>
            <w:r>
              <w:rPr>
                <w:rFonts w:ascii="Arial" w:hAnsi="Arial"/>
                <w:b w:val="0"/>
                <w:sz w:val="15"/>
              </w:rPr>
              <w:t>Tahunan</w:t>
            </w:r>
          </w:p>
        </w:tc>
        <w:tc>
          <w:tcPr>
            <w:tcW w:type="dxa" w:w="2422"/>
            <w:vAlign w:val="center"/>
          </w:tcPr>
          <w:p>
            <w:pPr>
              <w:jc w:val="left"/>
            </w:pPr>
            <w:r/>
            <w:r>
              <w:rPr>
                <w:rFonts w:ascii="Arial" w:hAnsi="Arial"/>
                <w:b w:val="0"/>
                <w:sz w:val="15"/>
              </w:rPr>
              <w:t>Kepala BAUK dan Petugas Aset</w:t>
            </w:r>
          </w:p>
        </w:tc>
        <w:tc>
          <w:tcPr>
            <w:tcW w:type="dxa" w:w="2422"/>
            <w:vAlign w:val="center"/>
          </w:tcPr>
          <w:p>
            <w:pPr>
              <w:jc w:val="left"/>
            </w:pPr>
            <w:r/>
            <w:r>
              <w:rPr>
                <w:rFonts w:ascii="Arial" w:hAnsi="Arial"/>
                <w:b w:val="0"/>
                <w:sz w:val="15"/>
              </w:rPr>
              <w:t>Daftar inventaris dan berita acara</w:t>
            </w:r>
          </w:p>
        </w:tc>
      </w:tr>
      <w:tr>
        <w:tc>
          <w:tcPr>
            <w:tcW w:type="dxa" w:w="2422"/>
            <w:vAlign w:val="center"/>
          </w:tcPr>
          <w:p>
            <w:pPr>
              <w:jc w:val="left"/>
            </w:pPr>
            <w:r/>
            <w:r>
              <w:rPr>
                <w:rFonts w:ascii="Arial" w:hAnsi="Arial"/>
                <w:b w:val="0"/>
                <w:sz w:val="15"/>
              </w:rPr>
              <w:t>Evaluasi akhir RENOP BAUK</w:t>
            </w:r>
          </w:p>
        </w:tc>
        <w:tc>
          <w:tcPr>
            <w:tcW w:type="dxa" w:w="2422"/>
            <w:vAlign w:val="center"/>
          </w:tcPr>
          <w:p>
            <w:pPr>
              <w:jc w:val="left"/>
            </w:pPr>
            <w:r/>
            <w:r>
              <w:rPr>
                <w:rFonts w:ascii="Arial" w:hAnsi="Arial"/>
                <w:b w:val="0"/>
                <w:sz w:val="15"/>
              </w:rPr>
              <w:t>Akhir tahun akademik</w:t>
            </w:r>
          </w:p>
        </w:tc>
        <w:tc>
          <w:tcPr>
            <w:tcW w:type="dxa" w:w="2422"/>
            <w:vAlign w:val="center"/>
          </w:tcPr>
          <w:p>
            <w:pPr>
              <w:jc w:val="left"/>
            </w:pPr>
            <w:r/>
            <w:r>
              <w:rPr>
                <w:rFonts w:ascii="Arial" w:hAnsi="Arial"/>
                <w:b w:val="0"/>
                <w:sz w:val="15"/>
              </w:rPr>
              <w:t>Kepala BAUK, Wakil Ketua Bidang Keuangan, Ketua STAI</w:t>
            </w:r>
          </w:p>
        </w:tc>
        <w:tc>
          <w:tcPr>
            <w:tcW w:type="dxa" w:w="2422"/>
            <w:vAlign w:val="center"/>
          </w:tcPr>
          <w:p>
            <w:pPr>
              <w:jc w:val="left"/>
            </w:pPr>
            <w:r/>
            <w:r>
              <w:rPr>
                <w:rFonts w:ascii="Arial" w:hAnsi="Arial"/>
                <w:b w:val="0"/>
                <w:sz w:val="15"/>
              </w:rPr>
              <w:t>Laporan evaluasi dan rekomendasi</w:t>
            </w:r>
          </w:p>
        </w:tc>
      </w:tr>
    </w:tbl>
    <w:p/>
    <w:p>
      <w:pPr>
        <w:pStyle w:val="Heading2"/>
      </w:pPr>
      <w:r>
        <w:t>C. Daftar Bukti Minimum BAUK untuk Akreditasi</w:t>
      </w:r>
    </w:p>
    <w:tbl>
      <w:tblPr>
        <w:tblStyle w:val="TableGrid"/>
        <w:tblW w:type="auto" w:w="0"/>
        <w:jc w:val="center"/>
        <w:tblLook w:firstColumn="1" w:firstRow="1" w:lastColumn="0" w:lastRow="0" w:noHBand="0" w:noVBand="1" w:val="04A0"/>
      </w:tblPr>
      <w:tblGrid>
        <w:gridCol w:w="2422"/>
        <w:gridCol w:w="2422"/>
        <w:gridCol w:w="2422"/>
        <w:gridCol w:w="2422"/>
      </w:tblGrid>
      <w:tr>
        <w:tc>
          <w:tcPr>
            <w:tcW w:type="dxa" w:w="2422"/>
            <w:vAlign w:val="center"/>
            <w:shd w:fill="D9EAF7"/>
          </w:tcPr>
          <w:p>
            <w:pPr>
              <w:jc w:val="center"/>
            </w:pPr>
            <w:r/>
            <w:r>
              <w:rPr>
                <w:rFonts w:ascii="Arial" w:hAnsi="Arial"/>
                <w:b/>
                <w:sz w:val="15"/>
              </w:rPr>
              <w:t>Urutan</w:t>
            </w:r>
          </w:p>
        </w:tc>
        <w:tc>
          <w:tcPr>
            <w:tcW w:type="dxa" w:w="2422"/>
            <w:vAlign w:val="center"/>
            <w:shd w:fill="D9EAF7"/>
          </w:tcPr>
          <w:p>
            <w:pPr>
              <w:jc w:val="center"/>
            </w:pPr>
            <w:r/>
            <w:r>
              <w:rPr>
                <w:rFonts w:ascii="Arial" w:hAnsi="Arial"/>
                <w:b/>
                <w:sz w:val="15"/>
              </w:rPr>
              <w:t>Bukti</w:t>
            </w:r>
          </w:p>
        </w:tc>
        <w:tc>
          <w:tcPr>
            <w:tcW w:type="dxa" w:w="2422"/>
            <w:vAlign w:val="center"/>
            <w:shd w:fill="D9EAF7"/>
          </w:tcPr>
          <w:p>
            <w:pPr>
              <w:jc w:val="center"/>
            </w:pPr>
            <w:r/>
            <w:r>
              <w:rPr>
                <w:rFonts w:ascii="Arial" w:hAnsi="Arial"/>
                <w:b/>
                <w:sz w:val="15"/>
              </w:rPr>
              <w:t>Keterangan</w:t>
            </w:r>
          </w:p>
        </w:tc>
        <w:tc>
          <w:tcPr>
            <w:tcW w:type="dxa" w:w="2422"/>
            <w:vAlign w:val="center"/>
            <w:shd w:fill="D9EAF7"/>
          </w:tcPr>
          <w:p>
            <w:pPr>
              <w:jc w:val="center"/>
            </w:pPr>
            <w:r/>
            <w:r>
              <w:rPr>
                <w:rFonts w:ascii="Arial" w:hAnsi="Arial"/>
                <w:b/>
                <w:sz w:val="15"/>
              </w:rPr>
              <w:t>PIC</w:t>
            </w:r>
          </w:p>
        </w:tc>
      </w:tr>
      <w:tr>
        <w:tc>
          <w:tcPr>
            <w:tcW w:type="dxa" w:w="2422"/>
            <w:vAlign w:val="center"/>
          </w:tcPr>
          <w:p>
            <w:pPr>
              <w:jc w:val="left"/>
            </w:pPr>
            <w:r/>
            <w:r>
              <w:rPr>
                <w:rFonts w:ascii="Arial" w:hAnsi="Arial"/>
                <w:b w:val="0"/>
                <w:sz w:val="15"/>
              </w:rPr>
              <w:t>a</w:t>
            </w:r>
          </w:p>
        </w:tc>
        <w:tc>
          <w:tcPr>
            <w:tcW w:type="dxa" w:w="2422"/>
            <w:vAlign w:val="center"/>
          </w:tcPr>
          <w:p>
            <w:pPr>
              <w:jc w:val="left"/>
            </w:pPr>
            <w:r/>
            <w:r>
              <w:rPr>
                <w:rFonts w:ascii="Arial" w:hAnsi="Arial"/>
                <w:b w:val="0"/>
                <w:sz w:val="15"/>
              </w:rPr>
              <w:t>RENOP BAUK 2024–2025</w:t>
            </w:r>
          </w:p>
        </w:tc>
        <w:tc>
          <w:tcPr>
            <w:tcW w:type="dxa" w:w="2422"/>
            <w:vAlign w:val="center"/>
          </w:tcPr>
          <w:p>
            <w:pPr>
              <w:jc w:val="left"/>
            </w:pPr>
            <w:r/>
            <w:r>
              <w:rPr>
                <w:rFonts w:ascii="Arial" w:hAnsi="Arial"/>
                <w:b w:val="0"/>
                <w:sz w:val="15"/>
              </w:rPr>
              <w:t>Dokumen turunan dari RENOP institusi</w:t>
            </w:r>
          </w:p>
        </w:tc>
        <w:tc>
          <w:tcPr>
            <w:tcW w:type="dxa" w:w="2422"/>
            <w:vAlign w:val="center"/>
          </w:tcPr>
          <w:p>
            <w:pPr>
              <w:jc w:val="left"/>
            </w:pPr>
            <w:r/>
            <w:r>
              <w:rPr>
                <w:rFonts w:ascii="Arial" w:hAnsi="Arial"/>
                <w:b w:val="0"/>
                <w:sz w:val="15"/>
              </w:rPr>
              <w:t>Kepala BAUK</w:t>
            </w:r>
          </w:p>
        </w:tc>
      </w:tr>
      <w:tr>
        <w:tc>
          <w:tcPr>
            <w:tcW w:type="dxa" w:w="2422"/>
            <w:vAlign w:val="center"/>
          </w:tcPr>
          <w:p>
            <w:pPr>
              <w:jc w:val="left"/>
            </w:pPr>
            <w:r/>
            <w:r>
              <w:rPr>
                <w:rFonts w:ascii="Arial" w:hAnsi="Arial"/>
                <w:b w:val="0"/>
                <w:sz w:val="15"/>
              </w:rPr>
              <w:t>b</w:t>
            </w:r>
          </w:p>
        </w:tc>
        <w:tc>
          <w:tcPr>
            <w:tcW w:type="dxa" w:w="2422"/>
            <w:vAlign w:val="center"/>
          </w:tcPr>
          <w:p>
            <w:pPr>
              <w:jc w:val="left"/>
            </w:pPr>
            <w:r/>
            <w:r>
              <w:rPr>
                <w:rFonts w:ascii="Arial" w:hAnsi="Arial"/>
                <w:b w:val="0"/>
                <w:sz w:val="15"/>
              </w:rPr>
              <w:t>RKAT/RAB BAUK</w:t>
            </w:r>
          </w:p>
        </w:tc>
        <w:tc>
          <w:tcPr>
            <w:tcW w:type="dxa" w:w="2422"/>
            <w:vAlign w:val="center"/>
          </w:tcPr>
          <w:p>
            <w:pPr>
              <w:jc w:val="left"/>
            </w:pPr>
            <w:r/>
            <w:r>
              <w:rPr>
                <w:rFonts w:ascii="Arial" w:hAnsi="Arial"/>
                <w:b w:val="0"/>
                <w:sz w:val="15"/>
              </w:rPr>
              <w:t>Rencana kebutuhan anggaran unit</w:t>
            </w:r>
          </w:p>
        </w:tc>
        <w:tc>
          <w:tcPr>
            <w:tcW w:type="dxa" w:w="2422"/>
            <w:vAlign w:val="center"/>
          </w:tcPr>
          <w:p>
            <w:pPr>
              <w:jc w:val="left"/>
            </w:pPr>
            <w:r/>
            <w:r>
              <w:rPr>
                <w:rFonts w:ascii="Arial" w:hAnsi="Arial"/>
                <w:b w:val="0"/>
                <w:sz w:val="15"/>
              </w:rPr>
              <w:t>Kepala BAUK dan Keuangan</w:t>
            </w:r>
          </w:p>
        </w:tc>
      </w:tr>
      <w:tr>
        <w:tc>
          <w:tcPr>
            <w:tcW w:type="dxa" w:w="2422"/>
            <w:vAlign w:val="center"/>
          </w:tcPr>
          <w:p>
            <w:pPr>
              <w:jc w:val="left"/>
            </w:pPr>
            <w:r/>
            <w:r>
              <w:rPr>
                <w:rFonts w:ascii="Arial" w:hAnsi="Arial"/>
                <w:b w:val="0"/>
                <w:sz w:val="15"/>
              </w:rPr>
              <w:t>c</w:t>
            </w:r>
          </w:p>
        </w:tc>
        <w:tc>
          <w:tcPr>
            <w:tcW w:type="dxa" w:w="2422"/>
            <w:vAlign w:val="center"/>
          </w:tcPr>
          <w:p>
            <w:pPr>
              <w:jc w:val="left"/>
            </w:pPr>
            <w:r/>
            <w:r>
              <w:rPr>
                <w:rFonts w:ascii="Arial" w:hAnsi="Arial"/>
                <w:b w:val="0"/>
                <w:sz w:val="15"/>
              </w:rPr>
              <w:t>Kebijakan dan standar pengelolaan keuangan</w:t>
            </w:r>
          </w:p>
        </w:tc>
        <w:tc>
          <w:tcPr>
            <w:tcW w:type="dxa" w:w="2422"/>
            <w:vAlign w:val="center"/>
          </w:tcPr>
          <w:p>
            <w:pPr>
              <w:jc w:val="left"/>
            </w:pPr>
            <w:r/>
            <w:r>
              <w:rPr>
                <w:rFonts w:ascii="Arial" w:hAnsi="Arial"/>
                <w:b w:val="0"/>
                <w:sz w:val="15"/>
              </w:rPr>
              <w:t>Dokumen SPMI bidang keuangan</w:t>
            </w:r>
          </w:p>
        </w:tc>
        <w:tc>
          <w:tcPr>
            <w:tcW w:type="dxa" w:w="2422"/>
            <w:vAlign w:val="center"/>
          </w:tcPr>
          <w:p>
            <w:pPr>
              <w:jc w:val="left"/>
            </w:pPr>
            <w:r/>
            <w:r>
              <w:rPr>
                <w:rFonts w:ascii="Arial" w:hAnsi="Arial"/>
                <w:b w:val="0"/>
                <w:sz w:val="15"/>
              </w:rPr>
              <w:t>Kepala BAUK, LPM</w:t>
            </w:r>
          </w:p>
        </w:tc>
      </w:tr>
      <w:tr>
        <w:tc>
          <w:tcPr>
            <w:tcW w:type="dxa" w:w="2422"/>
            <w:vAlign w:val="center"/>
          </w:tcPr>
          <w:p>
            <w:pPr>
              <w:jc w:val="left"/>
            </w:pPr>
            <w:r/>
            <w:r>
              <w:rPr>
                <w:rFonts w:ascii="Arial" w:hAnsi="Arial"/>
                <w:b w:val="0"/>
                <w:sz w:val="15"/>
              </w:rPr>
              <w:t>d</w:t>
            </w:r>
          </w:p>
        </w:tc>
        <w:tc>
          <w:tcPr>
            <w:tcW w:type="dxa" w:w="2422"/>
            <w:vAlign w:val="center"/>
          </w:tcPr>
          <w:p>
            <w:pPr>
              <w:jc w:val="left"/>
            </w:pPr>
            <w:r/>
            <w:r>
              <w:rPr>
                <w:rFonts w:ascii="Arial" w:hAnsi="Arial"/>
                <w:b w:val="0"/>
                <w:sz w:val="15"/>
              </w:rPr>
              <w:t>SOP dan formulir BAUK</w:t>
            </w:r>
          </w:p>
        </w:tc>
        <w:tc>
          <w:tcPr>
            <w:tcW w:type="dxa" w:w="2422"/>
            <w:vAlign w:val="center"/>
          </w:tcPr>
          <w:p>
            <w:pPr>
              <w:jc w:val="left"/>
            </w:pPr>
            <w:r/>
            <w:r>
              <w:rPr>
                <w:rFonts w:ascii="Arial" w:hAnsi="Arial"/>
                <w:b w:val="0"/>
                <w:sz w:val="15"/>
              </w:rPr>
              <w:t>SOP RKAT, penerimaan, pencairan, SPJ, kas bank, rekonsiliasi</w:t>
            </w:r>
          </w:p>
        </w:tc>
        <w:tc>
          <w:tcPr>
            <w:tcW w:type="dxa" w:w="2422"/>
            <w:vAlign w:val="center"/>
          </w:tcPr>
          <w:p>
            <w:pPr>
              <w:jc w:val="left"/>
            </w:pPr>
            <w:r/>
            <w:r>
              <w:rPr>
                <w:rFonts w:ascii="Arial" w:hAnsi="Arial"/>
                <w:b w:val="0"/>
                <w:sz w:val="15"/>
              </w:rPr>
              <w:t>Kepala BAUK</w:t>
            </w:r>
          </w:p>
        </w:tc>
      </w:tr>
      <w:tr>
        <w:tc>
          <w:tcPr>
            <w:tcW w:type="dxa" w:w="2422"/>
            <w:vAlign w:val="center"/>
          </w:tcPr>
          <w:p>
            <w:pPr>
              <w:jc w:val="left"/>
            </w:pPr>
            <w:r/>
            <w:r>
              <w:rPr>
                <w:rFonts w:ascii="Arial" w:hAnsi="Arial"/>
                <w:b w:val="0"/>
                <w:sz w:val="15"/>
              </w:rPr>
              <w:t>e</w:t>
            </w:r>
          </w:p>
        </w:tc>
        <w:tc>
          <w:tcPr>
            <w:tcW w:type="dxa" w:w="2422"/>
            <w:vAlign w:val="center"/>
          </w:tcPr>
          <w:p>
            <w:pPr>
              <w:jc w:val="left"/>
            </w:pPr>
            <w:r/>
            <w:r>
              <w:rPr>
                <w:rFonts w:ascii="Arial" w:hAnsi="Arial"/>
                <w:b w:val="0"/>
                <w:sz w:val="15"/>
              </w:rPr>
              <w:t>Rekap penerimaan dan pengeluaran</w:t>
            </w:r>
          </w:p>
        </w:tc>
        <w:tc>
          <w:tcPr>
            <w:tcW w:type="dxa" w:w="2422"/>
            <w:vAlign w:val="center"/>
          </w:tcPr>
          <w:p>
            <w:pPr>
              <w:jc w:val="left"/>
            </w:pPr>
            <w:r/>
            <w:r>
              <w:rPr>
                <w:rFonts w:ascii="Arial" w:hAnsi="Arial"/>
                <w:b w:val="0"/>
                <w:sz w:val="15"/>
              </w:rPr>
              <w:t>Data periodik yang dapat ditelusuri</w:t>
            </w:r>
          </w:p>
        </w:tc>
        <w:tc>
          <w:tcPr>
            <w:tcW w:type="dxa" w:w="2422"/>
            <w:vAlign w:val="center"/>
          </w:tcPr>
          <w:p>
            <w:pPr>
              <w:jc w:val="left"/>
            </w:pPr>
            <w:r/>
            <w:r>
              <w:rPr>
                <w:rFonts w:ascii="Arial" w:hAnsi="Arial"/>
                <w:b w:val="0"/>
                <w:sz w:val="15"/>
              </w:rPr>
              <w:t>Bagian Keuangan</w:t>
            </w:r>
          </w:p>
        </w:tc>
      </w:tr>
      <w:tr>
        <w:tc>
          <w:tcPr>
            <w:tcW w:type="dxa" w:w="2422"/>
            <w:vAlign w:val="center"/>
          </w:tcPr>
          <w:p>
            <w:pPr>
              <w:jc w:val="left"/>
            </w:pPr>
            <w:r/>
            <w:r>
              <w:rPr>
                <w:rFonts w:ascii="Arial" w:hAnsi="Arial"/>
                <w:b w:val="0"/>
                <w:sz w:val="15"/>
              </w:rPr>
              <w:t>f</w:t>
            </w:r>
          </w:p>
        </w:tc>
        <w:tc>
          <w:tcPr>
            <w:tcW w:type="dxa" w:w="2422"/>
            <w:vAlign w:val="center"/>
          </w:tcPr>
          <w:p>
            <w:pPr>
              <w:jc w:val="left"/>
            </w:pPr>
            <w:r/>
            <w:r>
              <w:rPr>
                <w:rFonts w:ascii="Arial" w:hAnsi="Arial"/>
                <w:b w:val="0"/>
                <w:sz w:val="15"/>
              </w:rPr>
              <w:t>Rekonsiliasi kas dan bank</w:t>
            </w:r>
          </w:p>
        </w:tc>
        <w:tc>
          <w:tcPr>
            <w:tcW w:type="dxa" w:w="2422"/>
            <w:vAlign w:val="center"/>
          </w:tcPr>
          <w:p>
            <w:pPr>
              <w:jc w:val="left"/>
            </w:pPr>
            <w:r/>
            <w:r>
              <w:rPr>
                <w:rFonts w:ascii="Arial" w:hAnsi="Arial"/>
                <w:b w:val="0"/>
                <w:sz w:val="15"/>
              </w:rPr>
              <w:t>Lembar rekonsiliasi dan rekening koran</w:t>
            </w:r>
          </w:p>
        </w:tc>
        <w:tc>
          <w:tcPr>
            <w:tcW w:type="dxa" w:w="2422"/>
            <w:vAlign w:val="center"/>
          </w:tcPr>
          <w:p>
            <w:pPr>
              <w:jc w:val="left"/>
            </w:pPr>
            <w:r/>
            <w:r>
              <w:rPr>
                <w:rFonts w:ascii="Arial" w:hAnsi="Arial"/>
                <w:b w:val="0"/>
                <w:sz w:val="15"/>
              </w:rPr>
              <w:t>Bagian Keuangan</w:t>
            </w:r>
          </w:p>
        </w:tc>
      </w:tr>
      <w:tr>
        <w:tc>
          <w:tcPr>
            <w:tcW w:type="dxa" w:w="2422"/>
            <w:vAlign w:val="center"/>
          </w:tcPr>
          <w:p>
            <w:pPr>
              <w:jc w:val="left"/>
            </w:pPr>
            <w:r/>
            <w:r>
              <w:rPr>
                <w:rFonts w:ascii="Arial" w:hAnsi="Arial"/>
                <w:b w:val="0"/>
                <w:sz w:val="15"/>
              </w:rPr>
              <w:t>g</w:t>
            </w:r>
          </w:p>
        </w:tc>
        <w:tc>
          <w:tcPr>
            <w:tcW w:type="dxa" w:w="2422"/>
            <w:vAlign w:val="center"/>
          </w:tcPr>
          <w:p>
            <w:pPr>
              <w:jc w:val="left"/>
            </w:pPr>
            <w:r/>
            <w:r>
              <w:rPr>
                <w:rFonts w:ascii="Arial" w:hAnsi="Arial"/>
                <w:b w:val="0"/>
                <w:sz w:val="15"/>
              </w:rPr>
              <w:t>Laporan monitoring realisasi anggaran</w:t>
            </w:r>
          </w:p>
        </w:tc>
        <w:tc>
          <w:tcPr>
            <w:tcW w:type="dxa" w:w="2422"/>
            <w:vAlign w:val="center"/>
          </w:tcPr>
          <w:p>
            <w:pPr>
              <w:jc w:val="left"/>
            </w:pPr>
            <w:r/>
            <w:r>
              <w:rPr>
                <w:rFonts w:ascii="Arial" w:hAnsi="Arial"/>
                <w:b w:val="0"/>
                <w:sz w:val="15"/>
              </w:rPr>
              <w:t>Monitoring deviasi, kas, dan tindak lanjut</w:t>
            </w:r>
          </w:p>
        </w:tc>
        <w:tc>
          <w:tcPr>
            <w:tcW w:type="dxa" w:w="2422"/>
            <w:vAlign w:val="center"/>
          </w:tcPr>
          <w:p>
            <w:pPr>
              <w:jc w:val="left"/>
            </w:pPr>
            <w:r/>
            <w:r>
              <w:rPr>
                <w:rFonts w:ascii="Arial" w:hAnsi="Arial"/>
                <w:b w:val="0"/>
                <w:sz w:val="15"/>
              </w:rPr>
              <w:t>Kepala BAUK</w:t>
            </w:r>
          </w:p>
        </w:tc>
      </w:tr>
      <w:tr>
        <w:tc>
          <w:tcPr>
            <w:tcW w:type="dxa" w:w="2422"/>
            <w:vAlign w:val="center"/>
          </w:tcPr>
          <w:p>
            <w:pPr>
              <w:jc w:val="left"/>
            </w:pPr>
            <w:r/>
            <w:r>
              <w:rPr>
                <w:rFonts w:ascii="Arial" w:hAnsi="Arial"/>
                <w:b w:val="0"/>
                <w:sz w:val="15"/>
              </w:rPr>
              <w:t>h</w:t>
            </w:r>
          </w:p>
        </w:tc>
        <w:tc>
          <w:tcPr>
            <w:tcW w:type="dxa" w:w="2422"/>
            <w:vAlign w:val="center"/>
          </w:tcPr>
          <w:p>
            <w:pPr>
              <w:jc w:val="left"/>
            </w:pPr>
            <w:r/>
            <w:r>
              <w:rPr>
                <w:rFonts w:ascii="Arial" w:hAnsi="Arial"/>
                <w:b w:val="0"/>
                <w:sz w:val="15"/>
              </w:rPr>
              <w:t>Laporan keuangan tahunan</w:t>
            </w:r>
          </w:p>
        </w:tc>
        <w:tc>
          <w:tcPr>
            <w:tcW w:type="dxa" w:w="2422"/>
            <w:vAlign w:val="center"/>
          </w:tcPr>
          <w:p>
            <w:pPr>
              <w:jc w:val="left"/>
            </w:pPr>
            <w:r/>
            <w:r>
              <w:rPr>
                <w:rFonts w:ascii="Arial" w:hAnsi="Arial"/>
                <w:b w:val="0"/>
                <w:sz w:val="15"/>
              </w:rPr>
              <w:t>Ringkasan penerimaan, pengeluaran, saldo, piutang, deviasi</w:t>
            </w:r>
          </w:p>
        </w:tc>
        <w:tc>
          <w:tcPr>
            <w:tcW w:type="dxa" w:w="2422"/>
            <w:vAlign w:val="center"/>
          </w:tcPr>
          <w:p>
            <w:pPr>
              <w:jc w:val="left"/>
            </w:pPr>
            <w:r/>
            <w:r>
              <w:rPr>
                <w:rFonts w:ascii="Arial" w:hAnsi="Arial"/>
                <w:b w:val="0"/>
                <w:sz w:val="15"/>
              </w:rPr>
              <w:t>Kepala BAUK dan Keuangan</w:t>
            </w:r>
          </w:p>
        </w:tc>
      </w:tr>
      <w:tr>
        <w:tc>
          <w:tcPr>
            <w:tcW w:type="dxa" w:w="2422"/>
            <w:vAlign w:val="center"/>
          </w:tcPr>
          <w:p>
            <w:pPr>
              <w:jc w:val="left"/>
            </w:pPr>
            <w:r/>
            <w:r>
              <w:rPr>
                <w:rFonts w:ascii="Arial" w:hAnsi="Arial"/>
                <w:b w:val="0"/>
                <w:sz w:val="15"/>
              </w:rPr>
              <w:t>i</w:t>
            </w:r>
          </w:p>
        </w:tc>
        <w:tc>
          <w:tcPr>
            <w:tcW w:type="dxa" w:w="2422"/>
            <w:vAlign w:val="center"/>
          </w:tcPr>
          <w:p>
            <w:pPr>
              <w:jc w:val="left"/>
            </w:pPr>
            <w:r/>
            <w:r>
              <w:rPr>
                <w:rFonts w:ascii="Arial" w:hAnsi="Arial"/>
                <w:b w:val="0"/>
                <w:sz w:val="15"/>
              </w:rPr>
              <w:t>Daftar inventaris dan pemeliharaan</w:t>
            </w:r>
          </w:p>
        </w:tc>
        <w:tc>
          <w:tcPr>
            <w:tcW w:type="dxa" w:w="2422"/>
            <w:vAlign w:val="center"/>
          </w:tcPr>
          <w:p>
            <w:pPr>
              <w:jc w:val="left"/>
            </w:pPr>
            <w:r/>
            <w:r>
              <w:rPr>
                <w:rFonts w:ascii="Arial" w:hAnsi="Arial"/>
                <w:b w:val="0"/>
                <w:sz w:val="15"/>
              </w:rPr>
              <w:t>Bukti sarana prasarana dan aset</w:t>
            </w:r>
          </w:p>
        </w:tc>
        <w:tc>
          <w:tcPr>
            <w:tcW w:type="dxa" w:w="2422"/>
            <w:vAlign w:val="center"/>
          </w:tcPr>
          <w:p>
            <w:pPr>
              <w:jc w:val="left"/>
            </w:pPr>
            <w:r/>
            <w:r>
              <w:rPr>
                <w:rFonts w:ascii="Arial" w:hAnsi="Arial"/>
                <w:b w:val="0"/>
                <w:sz w:val="15"/>
              </w:rPr>
              <w:t>Petugas Aset</w:t>
            </w:r>
          </w:p>
        </w:tc>
      </w:tr>
      <w:tr>
        <w:tc>
          <w:tcPr>
            <w:tcW w:type="dxa" w:w="2422"/>
            <w:vAlign w:val="center"/>
          </w:tcPr>
          <w:p>
            <w:pPr>
              <w:jc w:val="left"/>
            </w:pPr>
            <w:r/>
            <w:r>
              <w:rPr>
                <w:rFonts w:ascii="Arial" w:hAnsi="Arial"/>
                <w:b w:val="0"/>
                <w:sz w:val="15"/>
              </w:rPr>
              <w:t>j</w:t>
            </w:r>
          </w:p>
        </w:tc>
        <w:tc>
          <w:tcPr>
            <w:tcW w:type="dxa" w:w="2422"/>
            <w:vAlign w:val="center"/>
          </w:tcPr>
          <w:p>
            <w:pPr>
              <w:jc w:val="left"/>
            </w:pPr>
            <w:r/>
            <w:r>
              <w:rPr>
                <w:rFonts w:ascii="Arial" w:hAnsi="Arial"/>
                <w:b w:val="0"/>
                <w:sz w:val="15"/>
              </w:rPr>
              <w:t>Survei kepuasan layanan dan tindak lanjut</w:t>
            </w:r>
          </w:p>
        </w:tc>
        <w:tc>
          <w:tcPr>
            <w:tcW w:type="dxa" w:w="2422"/>
            <w:vAlign w:val="center"/>
          </w:tcPr>
          <w:p>
            <w:pPr>
              <w:jc w:val="left"/>
            </w:pPr>
            <w:r/>
            <w:r>
              <w:rPr>
                <w:rFonts w:ascii="Arial" w:hAnsi="Arial"/>
                <w:b w:val="0"/>
                <w:sz w:val="15"/>
              </w:rPr>
              <w:t>Bukti evaluasi layanan BAUK</w:t>
            </w:r>
          </w:p>
        </w:tc>
        <w:tc>
          <w:tcPr>
            <w:tcW w:type="dxa" w:w="2422"/>
            <w:vAlign w:val="center"/>
          </w:tcPr>
          <w:p>
            <w:pPr>
              <w:jc w:val="left"/>
            </w:pPr>
            <w:r/>
            <w:r>
              <w:rPr>
                <w:rFonts w:ascii="Arial" w:hAnsi="Arial"/>
                <w:b w:val="0"/>
                <w:sz w:val="15"/>
              </w:rPr>
              <w:t>Kepala BAUK dan LPM</w:t>
            </w:r>
          </w:p>
        </w:tc>
      </w:tr>
      <w:tr>
        <w:tc>
          <w:tcPr>
            <w:tcW w:type="dxa" w:w="2422"/>
            <w:vAlign w:val="center"/>
          </w:tcPr>
          <w:p>
            <w:pPr>
              <w:jc w:val="left"/>
            </w:pPr>
            <w:r/>
            <w:r>
              <w:rPr>
                <w:rFonts w:ascii="Arial" w:hAnsi="Arial"/>
                <w:b w:val="0"/>
                <w:sz w:val="15"/>
              </w:rPr>
              <w:t>k</w:t>
            </w:r>
          </w:p>
        </w:tc>
        <w:tc>
          <w:tcPr>
            <w:tcW w:type="dxa" w:w="2422"/>
            <w:vAlign w:val="center"/>
          </w:tcPr>
          <w:p>
            <w:pPr>
              <w:jc w:val="left"/>
            </w:pPr>
            <w:r/>
            <w:r>
              <w:rPr>
                <w:rFonts w:ascii="Arial" w:hAnsi="Arial"/>
                <w:b w:val="0"/>
                <w:sz w:val="15"/>
              </w:rPr>
              <w:t>Daftar risiko dan mitigasi</w:t>
            </w:r>
          </w:p>
        </w:tc>
        <w:tc>
          <w:tcPr>
            <w:tcW w:type="dxa" w:w="2422"/>
            <w:vAlign w:val="center"/>
          </w:tcPr>
          <w:p>
            <w:pPr>
              <w:jc w:val="left"/>
            </w:pPr>
            <w:r/>
            <w:r>
              <w:rPr>
                <w:rFonts w:ascii="Arial" w:hAnsi="Arial"/>
                <w:b w:val="0"/>
                <w:sz w:val="15"/>
              </w:rPr>
              <w:t>Risiko keuangan, administrasi, aset, data, dan layanan</w:t>
            </w:r>
          </w:p>
        </w:tc>
        <w:tc>
          <w:tcPr>
            <w:tcW w:type="dxa" w:w="2422"/>
            <w:vAlign w:val="center"/>
          </w:tcPr>
          <w:p>
            <w:pPr>
              <w:jc w:val="left"/>
            </w:pPr>
            <w:r/>
            <w:r>
              <w:rPr>
                <w:rFonts w:ascii="Arial" w:hAnsi="Arial"/>
                <w:b w:val="0"/>
                <w:sz w:val="15"/>
              </w:rPr>
              <w:t>Kepala BAUK</w:t>
            </w:r>
          </w:p>
        </w:tc>
      </w:tr>
    </w:tbl>
    <w:p/>
    <w:p>
      <w:r>
        <w:br w:type="page"/>
      </w:r>
    </w:p>
    <w:p>
      <w:pPr>
        <w:pStyle w:val="Heading1"/>
      </w:pPr>
      <w:r>
        <w:t>BAB V</w:t>
        <w:br/>
        <w:t>PENUTUP</w:t>
      </w:r>
    </w:p>
    <w:p>
      <w:pPr>
        <w:jc w:val="both"/>
      </w:pPr>
      <w:r>
        <w:t>RENOP BAUK STAI Haji Agus Salim Cikarang Bekasi Tahun Akademik 2024–2025 disusun sebagai dokumen operasional unit yang mendukung pelaksanaan RENOP institusi. Dokumen ini memperjelas peran BAUK dalam mewujudkan tata kelola yang kredibel, transparan, akuntabel, tertib administrasi, dan berorientasi pada peningkatan mutu layanan.</w:t>
      </w:r>
    </w:p>
    <w:p>
      <w:pPr>
        <w:jc w:val="both"/>
      </w:pPr>
      <w:r>
        <w:t>Pelaksanaan RENOP BAUK perlu ditindaklanjuti melalui RKAT, SOP, formulir kerja, monitoring realisasi, rekonsiliasi, laporan tahunan, serta pengarsipan bukti yang memadai. Hasil monitoring dan evaluasi menjadi dasar perbaikan berkelanjutan dan penyusunan rencana kerja periode berikutnya.</w:t>
      </w:r>
    </w:p>
    <w:p>
      <w:pPr>
        <w:pStyle w:val="Heading1"/>
      </w:pPr>
      <w:r>
        <w:t>LAMPIRAN</w:t>
        <w:br/>
        <w:t>MATRIKS SINKRONISASI DOKUMEN BAUK</w:t>
      </w:r>
    </w:p>
    <w:tbl>
      <w:tblPr>
        <w:tblStyle w:val="TableGrid"/>
        <w:tblW w:type="auto" w:w="0"/>
        <w:jc w:val="center"/>
        <w:tblLook w:firstColumn="1" w:firstRow="1" w:lastColumn="0" w:lastRow="0" w:noHBand="0" w:noVBand="1" w:val="04A0"/>
      </w:tblPr>
      <w:tblGrid>
        <w:gridCol w:w="3230"/>
        <w:gridCol w:w="3230"/>
        <w:gridCol w:w="3230"/>
      </w:tblGrid>
      <w:tr>
        <w:tc>
          <w:tcPr>
            <w:tcW w:type="dxa" w:w="3230"/>
            <w:vAlign w:val="center"/>
            <w:shd w:fill="D9EAF7"/>
          </w:tcPr>
          <w:p>
            <w:pPr>
              <w:jc w:val="center"/>
            </w:pPr>
            <w:r/>
            <w:r>
              <w:rPr>
                <w:rFonts w:ascii="Arial" w:hAnsi="Arial"/>
                <w:b/>
                <w:sz w:val="15"/>
              </w:rPr>
              <w:t>Dokumen BAUK yang Dibutuhkan</w:t>
            </w:r>
          </w:p>
        </w:tc>
        <w:tc>
          <w:tcPr>
            <w:tcW w:type="dxa" w:w="3230"/>
            <w:vAlign w:val="center"/>
            <w:shd w:fill="D9EAF7"/>
          </w:tcPr>
          <w:p>
            <w:pPr>
              <w:jc w:val="center"/>
            </w:pPr>
            <w:r/>
            <w:r>
              <w:rPr>
                <w:rFonts w:ascii="Arial" w:hAnsi="Arial"/>
                <w:b/>
                <w:sz w:val="15"/>
              </w:rPr>
              <w:t>Fungsi</w:t>
            </w:r>
          </w:p>
        </w:tc>
        <w:tc>
          <w:tcPr>
            <w:tcW w:type="dxa" w:w="3230"/>
            <w:vAlign w:val="center"/>
            <w:shd w:fill="D9EAF7"/>
          </w:tcPr>
          <w:p>
            <w:pPr>
              <w:jc w:val="center"/>
            </w:pPr>
            <w:r/>
            <w:r>
              <w:rPr>
                <w:rFonts w:ascii="Arial" w:hAnsi="Arial"/>
                <w:b/>
                <w:sz w:val="15"/>
              </w:rPr>
              <w:t>Keterkaitan dengan RENOP Institusi</w:t>
            </w:r>
          </w:p>
        </w:tc>
      </w:tr>
      <w:tr>
        <w:tc>
          <w:tcPr>
            <w:tcW w:type="dxa" w:w="3230"/>
            <w:vAlign w:val="center"/>
          </w:tcPr>
          <w:p>
            <w:pPr>
              <w:jc w:val="left"/>
            </w:pPr>
            <w:r/>
            <w:r>
              <w:rPr>
                <w:rFonts w:ascii="Arial" w:hAnsi="Arial"/>
                <w:b w:val="0"/>
                <w:sz w:val="15"/>
              </w:rPr>
              <w:t>Kebijakan Pengelolaan Keuangan</w:t>
            </w:r>
          </w:p>
        </w:tc>
        <w:tc>
          <w:tcPr>
            <w:tcW w:type="dxa" w:w="3230"/>
            <w:vAlign w:val="center"/>
          </w:tcPr>
          <w:p>
            <w:pPr>
              <w:jc w:val="left"/>
            </w:pPr>
            <w:r/>
            <w:r>
              <w:rPr>
                <w:rFonts w:ascii="Arial" w:hAnsi="Arial"/>
                <w:b w:val="0"/>
                <w:sz w:val="15"/>
              </w:rPr>
              <w:t>Menjadi payung tata kelola keuangan</w:t>
            </w:r>
          </w:p>
        </w:tc>
        <w:tc>
          <w:tcPr>
            <w:tcW w:type="dxa" w:w="3230"/>
            <w:vAlign w:val="center"/>
          </w:tcPr>
          <w:p>
            <w:pPr>
              <w:jc w:val="left"/>
            </w:pPr>
            <w:r/>
            <w:r>
              <w:rPr>
                <w:rFonts w:ascii="Arial" w:hAnsi="Arial"/>
                <w:b w:val="0"/>
                <w:sz w:val="15"/>
              </w:rPr>
              <w:t>Mendukung good governance, akuntabilitas, dan tata kelola</w:t>
            </w:r>
          </w:p>
        </w:tc>
      </w:tr>
      <w:tr>
        <w:tc>
          <w:tcPr>
            <w:tcW w:type="dxa" w:w="3230"/>
            <w:vAlign w:val="center"/>
          </w:tcPr>
          <w:p>
            <w:pPr>
              <w:jc w:val="left"/>
            </w:pPr>
            <w:r/>
            <w:r>
              <w:rPr>
                <w:rFonts w:ascii="Arial" w:hAnsi="Arial"/>
                <w:b w:val="0"/>
                <w:sz w:val="15"/>
              </w:rPr>
              <w:t>Standar Pengelolaan Keuangan</w:t>
            </w:r>
          </w:p>
        </w:tc>
        <w:tc>
          <w:tcPr>
            <w:tcW w:type="dxa" w:w="3230"/>
            <w:vAlign w:val="center"/>
          </w:tcPr>
          <w:p>
            <w:pPr>
              <w:jc w:val="left"/>
            </w:pPr>
            <w:r/>
            <w:r>
              <w:rPr>
                <w:rFonts w:ascii="Arial" w:hAnsi="Arial"/>
                <w:b w:val="0"/>
                <w:sz w:val="15"/>
              </w:rPr>
              <w:t>Menetapkan indikator dan target internal</w:t>
            </w:r>
          </w:p>
        </w:tc>
        <w:tc>
          <w:tcPr>
            <w:tcW w:type="dxa" w:w="3230"/>
            <w:vAlign w:val="center"/>
          </w:tcPr>
          <w:p>
            <w:pPr>
              <w:jc w:val="left"/>
            </w:pPr>
            <w:r/>
            <w:r>
              <w:rPr>
                <w:rFonts w:ascii="Arial" w:hAnsi="Arial"/>
                <w:b w:val="0"/>
                <w:sz w:val="15"/>
              </w:rPr>
              <w:t>Mendukung standar SPMI dan evaluasi kinerja unit</w:t>
            </w:r>
          </w:p>
        </w:tc>
      </w:tr>
      <w:tr>
        <w:tc>
          <w:tcPr>
            <w:tcW w:type="dxa" w:w="3230"/>
            <w:vAlign w:val="center"/>
          </w:tcPr>
          <w:p>
            <w:pPr>
              <w:jc w:val="left"/>
            </w:pPr>
            <w:r/>
            <w:r>
              <w:rPr>
                <w:rFonts w:ascii="Arial" w:hAnsi="Arial"/>
                <w:b w:val="0"/>
                <w:sz w:val="15"/>
              </w:rPr>
              <w:t>SOP Penyusunan RKAT</w:t>
            </w:r>
          </w:p>
        </w:tc>
        <w:tc>
          <w:tcPr>
            <w:tcW w:type="dxa" w:w="3230"/>
            <w:vAlign w:val="center"/>
          </w:tcPr>
          <w:p>
            <w:pPr>
              <w:jc w:val="left"/>
            </w:pPr>
            <w:r/>
            <w:r>
              <w:rPr>
                <w:rFonts w:ascii="Arial" w:hAnsi="Arial"/>
                <w:b w:val="0"/>
                <w:sz w:val="15"/>
              </w:rPr>
              <w:t>Mengatur perencanaan anggaran</w:t>
            </w:r>
          </w:p>
        </w:tc>
        <w:tc>
          <w:tcPr>
            <w:tcW w:type="dxa" w:w="3230"/>
            <w:vAlign w:val="center"/>
          </w:tcPr>
          <w:p>
            <w:pPr>
              <w:jc w:val="left"/>
            </w:pPr>
            <w:r/>
            <w:r>
              <w:rPr>
                <w:rFonts w:ascii="Arial" w:hAnsi="Arial"/>
                <w:b w:val="0"/>
                <w:sz w:val="15"/>
              </w:rPr>
              <w:t>Mendukung sinkronisasi RENOP dengan RKAT</w:t>
            </w:r>
          </w:p>
        </w:tc>
      </w:tr>
      <w:tr>
        <w:tc>
          <w:tcPr>
            <w:tcW w:type="dxa" w:w="3230"/>
            <w:vAlign w:val="center"/>
          </w:tcPr>
          <w:p>
            <w:pPr>
              <w:jc w:val="left"/>
            </w:pPr>
            <w:r/>
            <w:r>
              <w:rPr>
                <w:rFonts w:ascii="Arial" w:hAnsi="Arial"/>
                <w:b w:val="0"/>
                <w:sz w:val="15"/>
              </w:rPr>
              <w:t>SOP Penerimaan Dana</w:t>
            </w:r>
          </w:p>
        </w:tc>
        <w:tc>
          <w:tcPr>
            <w:tcW w:type="dxa" w:w="3230"/>
            <w:vAlign w:val="center"/>
          </w:tcPr>
          <w:p>
            <w:pPr>
              <w:jc w:val="left"/>
            </w:pPr>
            <w:r/>
            <w:r>
              <w:rPr>
                <w:rFonts w:ascii="Arial" w:hAnsi="Arial"/>
                <w:b w:val="0"/>
                <w:sz w:val="15"/>
              </w:rPr>
              <w:t>Mengatur penerimaan, pencatatan, dan pelaporan</w:t>
            </w:r>
          </w:p>
        </w:tc>
        <w:tc>
          <w:tcPr>
            <w:tcW w:type="dxa" w:w="3230"/>
            <w:vAlign w:val="center"/>
          </w:tcPr>
          <w:p>
            <w:pPr>
              <w:jc w:val="left"/>
            </w:pPr>
            <w:r/>
            <w:r>
              <w:rPr>
                <w:rFonts w:ascii="Arial" w:hAnsi="Arial"/>
                <w:b w:val="0"/>
                <w:sz w:val="15"/>
              </w:rPr>
              <w:t>Mendukung akuntabilitas penerimaan</w:t>
            </w:r>
          </w:p>
        </w:tc>
      </w:tr>
      <w:tr>
        <w:tc>
          <w:tcPr>
            <w:tcW w:type="dxa" w:w="3230"/>
            <w:vAlign w:val="center"/>
          </w:tcPr>
          <w:p>
            <w:pPr>
              <w:jc w:val="left"/>
            </w:pPr>
            <w:r/>
            <w:r>
              <w:rPr>
                <w:rFonts w:ascii="Arial" w:hAnsi="Arial"/>
                <w:b w:val="0"/>
                <w:sz w:val="15"/>
              </w:rPr>
              <w:t>SOP Pengeluaran dan Pencairan Dana</w:t>
            </w:r>
          </w:p>
        </w:tc>
        <w:tc>
          <w:tcPr>
            <w:tcW w:type="dxa" w:w="3230"/>
            <w:vAlign w:val="center"/>
          </w:tcPr>
          <w:p>
            <w:pPr>
              <w:jc w:val="left"/>
            </w:pPr>
            <w:r/>
            <w:r>
              <w:rPr>
                <w:rFonts w:ascii="Arial" w:hAnsi="Arial"/>
                <w:b w:val="0"/>
                <w:sz w:val="15"/>
              </w:rPr>
              <w:t>Mengatur otorisasi dan pembayaran</w:t>
            </w:r>
          </w:p>
        </w:tc>
        <w:tc>
          <w:tcPr>
            <w:tcW w:type="dxa" w:w="3230"/>
            <w:vAlign w:val="center"/>
          </w:tcPr>
          <w:p>
            <w:pPr>
              <w:jc w:val="left"/>
            </w:pPr>
            <w:r/>
            <w:r>
              <w:rPr>
                <w:rFonts w:ascii="Arial" w:hAnsi="Arial"/>
                <w:b w:val="0"/>
                <w:sz w:val="15"/>
              </w:rPr>
              <w:t>Mendukung pengendalian belanja</w:t>
            </w:r>
          </w:p>
        </w:tc>
      </w:tr>
      <w:tr>
        <w:tc>
          <w:tcPr>
            <w:tcW w:type="dxa" w:w="3230"/>
            <w:vAlign w:val="center"/>
          </w:tcPr>
          <w:p>
            <w:pPr>
              <w:jc w:val="left"/>
            </w:pPr>
            <w:r/>
            <w:r>
              <w:rPr>
                <w:rFonts w:ascii="Arial" w:hAnsi="Arial"/>
                <w:b w:val="0"/>
                <w:sz w:val="15"/>
              </w:rPr>
              <w:t>SOP Pertanggungjawaban Keuangan</w:t>
            </w:r>
          </w:p>
        </w:tc>
        <w:tc>
          <w:tcPr>
            <w:tcW w:type="dxa" w:w="3230"/>
            <w:vAlign w:val="center"/>
          </w:tcPr>
          <w:p>
            <w:pPr>
              <w:jc w:val="left"/>
            </w:pPr>
            <w:r/>
            <w:r>
              <w:rPr>
                <w:rFonts w:ascii="Arial" w:hAnsi="Arial"/>
                <w:b w:val="0"/>
                <w:sz w:val="15"/>
              </w:rPr>
              <w:t>Mengatur SPJ dan bukti transaksi</w:t>
            </w:r>
          </w:p>
        </w:tc>
        <w:tc>
          <w:tcPr>
            <w:tcW w:type="dxa" w:w="3230"/>
            <w:vAlign w:val="center"/>
          </w:tcPr>
          <w:p>
            <w:pPr>
              <w:jc w:val="left"/>
            </w:pPr>
            <w:r/>
            <w:r>
              <w:rPr>
                <w:rFonts w:ascii="Arial" w:hAnsi="Arial"/>
                <w:b w:val="0"/>
                <w:sz w:val="15"/>
              </w:rPr>
              <w:t>Mendukung akuntabilitas dan audit</w:t>
            </w:r>
          </w:p>
        </w:tc>
      </w:tr>
      <w:tr>
        <w:tc>
          <w:tcPr>
            <w:tcW w:type="dxa" w:w="3230"/>
            <w:vAlign w:val="center"/>
          </w:tcPr>
          <w:p>
            <w:pPr>
              <w:jc w:val="left"/>
            </w:pPr>
            <w:r/>
            <w:r>
              <w:rPr>
                <w:rFonts w:ascii="Arial" w:hAnsi="Arial"/>
                <w:b w:val="0"/>
                <w:sz w:val="15"/>
              </w:rPr>
              <w:t>SOP Pengelolaan Kas dan Bank</w:t>
            </w:r>
          </w:p>
        </w:tc>
        <w:tc>
          <w:tcPr>
            <w:tcW w:type="dxa" w:w="3230"/>
            <w:vAlign w:val="center"/>
          </w:tcPr>
          <w:p>
            <w:pPr>
              <w:jc w:val="left"/>
            </w:pPr>
            <w:r/>
            <w:r>
              <w:rPr>
                <w:rFonts w:ascii="Arial" w:hAnsi="Arial"/>
                <w:b w:val="0"/>
                <w:sz w:val="15"/>
              </w:rPr>
              <w:t>Mengatur kas, rekening, akses, dan kas opname</w:t>
            </w:r>
          </w:p>
        </w:tc>
        <w:tc>
          <w:tcPr>
            <w:tcW w:type="dxa" w:w="3230"/>
            <w:vAlign w:val="center"/>
          </w:tcPr>
          <w:p>
            <w:pPr>
              <w:jc w:val="left"/>
            </w:pPr>
            <w:r/>
            <w:r>
              <w:rPr>
                <w:rFonts w:ascii="Arial" w:hAnsi="Arial"/>
                <w:b w:val="0"/>
                <w:sz w:val="15"/>
              </w:rPr>
              <w:t>Mendukung pengendalian internal</w:t>
            </w:r>
          </w:p>
        </w:tc>
      </w:tr>
      <w:tr>
        <w:tc>
          <w:tcPr>
            <w:tcW w:type="dxa" w:w="3230"/>
            <w:vAlign w:val="center"/>
          </w:tcPr>
          <w:p>
            <w:pPr>
              <w:jc w:val="left"/>
            </w:pPr>
            <w:r/>
            <w:r>
              <w:rPr>
                <w:rFonts w:ascii="Arial" w:hAnsi="Arial"/>
                <w:b w:val="0"/>
                <w:sz w:val="15"/>
              </w:rPr>
              <w:t>SOP Rekonsiliasi Keuangan</w:t>
            </w:r>
          </w:p>
        </w:tc>
        <w:tc>
          <w:tcPr>
            <w:tcW w:type="dxa" w:w="3230"/>
            <w:vAlign w:val="center"/>
          </w:tcPr>
          <w:p>
            <w:pPr>
              <w:jc w:val="left"/>
            </w:pPr>
            <w:r/>
            <w:r>
              <w:rPr>
                <w:rFonts w:ascii="Arial" w:hAnsi="Arial"/>
                <w:b w:val="0"/>
                <w:sz w:val="15"/>
              </w:rPr>
              <w:t>Mengatur pencocokan saldo dan transaksi</w:t>
            </w:r>
          </w:p>
        </w:tc>
        <w:tc>
          <w:tcPr>
            <w:tcW w:type="dxa" w:w="3230"/>
            <w:vAlign w:val="center"/>
          </w:tcPr>
          <w:p>
            <w:pPr>
              <w:jc w:val="left"/>
            </w:pPr>
            <w:r/>
            <w:r>
              <w:rPr>
                <w:rFonts w:ascii="Arial" w:hAnsi="Arial"/>
                <w:b w:val="0"/>
                <w:sz w:val="15"/>
              </w:rPr>
              <w:t>Mendukung validitas laporan keuangan</w:t>
            </w:r>
          </w:p>
        </w:tc>
      </w:tr>
      <w:tr>
        <w:tc>
          <w:tcPr>
            <w:tcW w:type="dxa" w:w="3230"/>
            <w:vAlign w:val="center"/>
          </w:tcPr>
          <w:p>
            <w:pPr>
              <w:jc w:val="left"/>
            </w:pPr>
            <w:r/>
            <w:r>
              <w:rPr>
                <w:rFonts w:ascii="Arial" w:hAnsi="Arial"/>
                <w:b w:val="0"/>
                <w:sz w:val="15"/>
              </w:rPr>
              <w:t>SOP Piutang/Tunggakan Mahasiswa</w:t>
            </w:r>
          </w:p>
        </w:tc>
        <w:tc>
          <w:tcPr>
            <w:tcW w:type="dxa" w:w="3230"/>
            <w:vAlign w:val="center"/>
          </w:tcPr>
          <w:p>
            <w:pPr>
              <w:jc w:val="left"/>
            </w:pPr>
            <w:r/>
            <w:r>
              <w:rPr>
                <w:rFonts w:ascii="Arial" w:hAnsi="Arial"/>
                <w:b w:val="0"/>
                <w:sz w:val="15"/>
              </w:rPr>
              <w:t>Mengatur tagihan dan pembayaran mahasiswa</w:t>
            </w:r>
          </w:p>
        </w:tc>
        <w:tc>
          <w:tcPr>
            <w:tcW w:type="dxa" w:w="3230"/>
            <w:vAlign w:val="center"/>
          </w:tcPr>
          <w:p>
            <w:pPr>
              <w:jc w:val="left"/>
            </w:pPr>
            <w:r/>
            <w:r>
              <w:rPr>
                <w:rFonts w:ascii="Arial" w:hAnsi="Arial"/>
                <w:b w:val="0"/>
                <w:sz w:val="15"/>
              </w:rPr>
              <w:t>Mendukung keberlanjutan keuangan</w:t>
            </w:r>
          </w:p>
        </w:tc>
      </w:tr>
      <w:tr>
        <w:tc>
          <w:tcPr>
            <w:tcW w:type="dxa" w:w="3230"/>
            <w:vAlign w:val="center"/>
          </w:tcPr>
          <w:p>
            <w:pPr>
              <w:jc w:val="left"/>
            </w:pPr>
            <w:r/>
            <w:r>
              <w:rPr>
                <w:rFonts w:ascii="Arial" w:hAnsi="Arial"/>
                <w:b w:val="0"/>
                <w:sz w:val="15"/>
              </w:rPr>
              <w:t>SOP Beasiswa/Bantuan Mahasiswa</w:t>
            </w:r>
          </w:p>
        </w:tc>
        <w:tc>
          <w:tcPr>
            <w:tcW w:type="dxa" w:w="3230"/>
            <w:vAlign w:val="center"/>
          </w:tcPr>
          <w:p>
            <w:pPr>
              <w:jc w:val="left"/>
            </w:pPr>
            <w:r/>
            <w:r>
              <w:rPr>
                <w:rFonts w:ascii="Arial" w:hAnsi="Arial"/>
                <w:b w:val="0"/>
                <w:sz w:val="15"/>
              </w:rPr>
              <w:t>Mengatur penyaluran bantuan dan beasiswa</w:t>
            </w:r>
          </w:p>
        </w:tc>
        <w:tc>
          <w:tcPr>
            <w:tcW w:type="dxa" w:w="3230"/>
            <w:vAlign w:val="center"/>
          </w:tcPr>
          <w:p>
            <w:pPr>
              <w:jc w:val="left"/>
            </w:pPr>
            <w:r/>
            <w:r>
              <w:rPr>
                <w:rFonts w:ascii="Arial" w:hAnsi="Arial"/>
                <w:b w:val="0"/>
                <w:sz w:val="15"/>
              </w:rPr>
              <w:t>Mendukung layanan mahasiswa</w:t>
            </w:r>
          </w:p>
        </w:tc>
      </w:tr>
      <w:tr>
        <w:tc>
          <w:tcPr>
            <w:tcW w:type="dxa" w:w="3230"/>
            <w:vAlign w:val="center"/>
          </w:tcPr>
          <w:p>
            <w:pPr>
              <w:jc w:val="left"/>
            </w:pPr>
            <w:r/>
            <w:r>
              <w:rPr>
                <w:rFonts w:ascii="Arial" w:hAnsi="Arial"/>
                <w:b w:val="0"/>
                <w:sz w:val="15"/>
              </w:rPr>
              <w:t>Formulir Pengajuan Anggaran</w:t>
            </w:r>
          </w:p>
        </w:tc>
        <w:tc>
          <w:tcPr>
            <w:tcW w:type="dxa" w:w="3230"/>
            <w:vAlign w:val="center"/>
          </w:tcPr>
          <w:p>
            <w:pPr>
              <w:jc w:val="left"/>
            </w:pPr>
            <w:r/>
            <w:r>
              <w:rPr>
                <w:rFonts w:ascii="Arial" w:hAnsi="Arial"/>
                <w:b w:val="0"/>
                <w:sz w:val="15"/>
              </w:rPr>
              <w:t>Mencatat kebutuhan dan dasar anggaran</w:t>
            </w:r>
          </w:p>
        </w:tc>
        <w:tc>
          <w:tcPr>
            <w:tcW w:type="dxa" w:w="3230"/>
            <w:vAlign w:val="center"/>
          </w:tcPr>
          <w:p>
            <w:pPr>
              <w:jc w:val="left"/>
            </w:pPr>
            <w:r/>
            <w:r>
              <w:rPr>
                <w:rFonts w:ascii="Arial" w:hAnsi="Arial"/>
                <w:b w:val="0"/>
                <w:sz w:val="15"/>
              </w:rPr>
              <w:t>Mendukung keterlacakan perencanaan</w:t>
            </w:r>
          </w:p>
        </w:tc>
      </w:tr>
      <w:tr>
        <w:tc>
          <w:tcPr>
            <w:tcW w:type="dxa" w:w="3230"/>
            <w:vAlign w:val="center"/>
          </w:tcPr>
          <w:p>
            <w:pPr>
              <w:jc w:val="left"/>
            </w:pPr>
            <w:r/>
            <w:r>
              <w:rPr>
                <w:rFonts w:ascii="Arial" w:hAnsi="Arial"/>
                <w:b w:val="0"/>
                <w:sz w:val="15"/>
              </w:rPr>
              <w:t>Formulir Pencairan Dana</w:t>
            </w:r>
          </w:p>
        </w:tc>
        <w:tc>
          <w:tcPr>
            <w:tcW w:type="dxa" w:w="3230"/>
            <w:vAlign w:val="center"/>
          </w:tcPr>
          <w:p>
            <w:pPr>
              <w:jc w:val="left"/>
            </w:pPr>
            <w:r/>
            <w:r>
              <w:rPr>
                <w:rFonts w:ascii="Arial" w:hAnsi="Arial"/>
                <w:b w:val="0"/>
                <w:sz w:val="15"/>
              </w:rPr>
              <w:t>Mencatat dasar pencairan dan penerima</w:t>
            </w:r>
          </w:p>
        </w:tc>
        <w:tc>
          <w:tcPr>
            <w:tcW w:type="dxa" w:w="3230"/>
            <w:vAlign w:val="center"/>
          </w:tcPr>
          <w:p>
            <w:pPr>
              <w:jc w:val="left"/>
            </w:pPr>
            <w:r/>
            <w:r>
              <w:rPr>
                <w:rFonts w:ascii="Arial" w:hAnsi="Arial"/>
                <w:b w:val="0"/>
                <w:sz w:val="15"/>
              </w:rPr>
              <w:t>Mendukung otorisasi pembayaran</w:t>
            </w:r>
          </w:p>
        </w:tc>
      </w:tr>
      <w:tr>
        <w:tc>
          <w:tcPr>
            <w:tcW w:type="dxa" w:w="3230"/>
            <w:vAlign w:val="center"/>
          </w:tcPr>
          <w:p>
            <w:pPr>
              <w:jc w:val="left"/>
            </w:pPr>
            <w:r/>
            <w:r>
              <w:rPr>
                <w:rFonts w:ascii="Arial" w:hAnsi="Arial"/>
                <w:b w:val="0"/>
                <w:sz w:val="15"/>
              </w:rPr>
              <w:t>Formulir Pertanggungjawaban Keuangan</w:t>
            </w:r>
          </w:p>
        </w:tc>
        <w:tc>
          <w:tcPr>
            <w:tcW w:type="dxa" w:w="3230"/>
            <w:vAlign w:val="center"/>
          </w:tcPr>
          <w:p>
            <w:pPr>
              <w:jc w:val="left"/>
            </w:pPr>
            <w:r/>
            <w:r>
              <w:rPr>
                <w:rFonts w:ascii="Arial" w:hAnsi="Arial"/>
                <w:b w:val="0"/>
                <w:sz w:val="15"/>
              </w:rPr>
              <w:t>Mencatat realisasi dan bukti</w:t>
            </w:r>
          </w:p>
        </w:tc>
        <w:tc>
          <w:tcPr>
            <w:tcW w:type="dxa" w:w="3230"/>
            <w:vAlign w:val="center"/>
          </w:tcPr>
          <w:p>
            <w:pPr>
              <w:jc w:val="left"/>
            </w:pPr>
            <w:r/>
            <w:r>
              <w:rPr>
                <w:rFonts w:ascii="Arial" w:hAnsi="Arial"/>
                <w:b w:val="0"/>
                <w:sz w:val="15"/>
              </w:rPr>
              <w:t>Mendukung SPJ</w:t>
            </w:r>
          </w:p>
        </w:tc>
      </w:tr>
      <w:tr>
        <w:tc>
          <w:tcPr>
            <w:tcW w:type="dxa" w:w="3230"/>
            <w:vAlign w:val="center"/>
          </w:tcPr>
          <w:p>
            <w:pPr>
              <w:jc w:val="left"/>
            </w:pPr>
            <w:r/>
            <w:r>
              <w:rPr>
                <w:rFonts w:ascii="Arial" w:hAnsi="Arial"/>
                <w:b w:val="0"/>
                <w:sz w:val="15"/>
              </w:rPr>
              <w:t>Formulir Rekonsiliasi Kas dan Bank</w:t>
            </w:r>
          </w:p>
        </w:tc>
        <w:tc>
          <w:tcPr>
            <w:tcW w:type="dxa" w:w="3230"/>
            <w:vAlign w:val="center"/>
          </w:tcPr>
          <w:p>
            <w:pPr>
              <w:jc w:val="left"/>
            </w:pPr>
            <w:r/>
            <w:r>
              <w:rPr>
                <w:rFonts w:ascii="Arial" w:hAnsi="Arial"/>
                <w:b w:val="0"/>
                <w:sz w:val="15"/>
              </w:rPr>
              <w:t>Mencatat saldo, selisih, dan koreksi</w:t>
            </w:r>
          </w:p>
        </w:tc>
        <w:tc>
          <w:tcPr>
            <w:tcW w:type="dxa" w:w="3230"/>
            <w:vAlign w:val="center"/>
          </w:tcPr>
          <w:p>
            <w:pPr>
              <w:jc w:val="left"/>
            </w:pPr>
            <w:r/>
            <w:r>
              <w:rPr>
                <w:rFonts w:ascii="Arial" w:hAnsi="Arial"/>
                <w:b w:val="0"/>
                <w:sz w:val="15"/>
              </w:rPr>
              <w:t>Mendukung rekonsiliasi</w:t>
            </w:r>
          </w:p>
        </w:tc>
      </w:tr>
      <w:tr>
        <w:tc>
          <w:tcPr>
            <w:tcW w:type="dxa" w:w="3230"/>
            <w:vAlign w:val="center"/>
          </w:tcPr>
          <w:p>
            <w:pPr>
              <w:jc w:val="left"/>
            </w:pPr>
            <w:r/>
            <w:r>
              <w:rPr>
                <w:rFonts w:ascii="Arial" w:hAnsi="Arial"/>
                <w:b w:val="0"/>
                <w:sz w:val="15"/>
              </w:rPr>
              <w:t>Formulir Monitoring Realisasi Anggaran</w:t>
            </w:r>
          </w:p>
        </w:tc>
        <w:tc>
          <w:tcPr>
            <w:tcW w:type="dxa" w:w="3230"/>
            <w:vAlign w:val="center"/>
          </w:tcPr>
          <w:p>
            <w:pPr>
              <w:jc w:val="left"/>
            </w:pPr>
            <w:r/>
            <w:r>
              <w:rPr>
                <w:rFonts w:ascii="Arial" w:hAnsi="Arial"/>
                <w:b w:val="0"/>
                <w:sz w:val="15"/>
              </w:rPr>
              <w:t>Mencatat realisasi, deviasi, dan tindak lanjut</w:t>
            </w:r>
          </w:p>
        </w:tc>
        <w:tc>
          <w:tcPr>
            <w:tcW w:type="dxa" w:w="3230"/>
            <w:vAlign w:val="center"/>
          </w:tcPr>
          <w:p>
            <w:pPr>
              <w:jc w:val="left"/>
            </w:pPr>
            <w:r/>
            <w:r>
              <w:rPr>
                <w:rFonts w:ascii="Arial" w:hAnsi="Arial"/>
                <w:b w:val="0"/>
                <w:sz w:val="15"/>
              </w:rPr>
              <w:t>Mendukung evaluasi berkala</w:t>
            </w:r>
          </w:p>
        </w:tc>
      </w:tr>
      <w:tr>
        <w:tc>
          <w:tcPr>
            <w:tcW w:type="dxa" w:w="3230"/>
            <w:vAlign w:val="center"/>
          </w:tcPr>
          <w:p>
            <w:pPr>
              <w:jc w:val="left"/>
            </w:pPr>
            <w:r/>
            <w:r>
              <w:rPr>
                <w:rFonts w:ascii="Arial" w:hAnsi="Arial"/>
                <w:b w:val="0"/>
                <w:sz w:val="15"/>
              </w:rPr>
              <w:t>Laporan Keuangan Tahunan</w:t>
            </w:r>
          </w:p>
        </w:tc>
        <w:tc>
          <w:tcPr>
            <w:tcW w:type="dxa" w:w="3230"/>
            <w:vAlign w:val="center"/>
          </w:tcPr>
          <w:p>
            <w:pPr>
              <w:jc w:val="left"/>
            </w:pPr>
            <w:r/>
            <w:r>
              <w:rPr>
                <w:rFonts w:ascii="Arial" w:hAnsi="Arial"/>
                <w:b w:val="0"/>
                <w:sz w:val="15"/>
              </w:rPr>
              <w:t>Menyajikan penerimaan, pengeluaran, saldo, deviasi, dan risiko</w:t>
            </w:r>
          </w:p>
        </w:tc>
        <w:tc>
          <w:tcPr>
            <w:tcW w:type="dxa" w:w="3230"/>
            <w:vAlign w:val="center"/>
          </w:tcPr>
          <w:p>
            <w:pPr>
              <w:jc w:val="left"/>
            </w:pPr>
            <w:r/>
            <w:r>
              <w:rPr>
                <w:rFonts w:ascii="Arial" w:hAnsi="Arial"/>
                <w:b w:val="0"/>
                <w:sz w:val="15"/>
              </w:rPr>
              <w:t>Mendukung evaluasi dan akreditasi</w:t>
            </w:r>
          </w:p>
        </w:tc>
      </w:tr>
    </w:tbl>
    <w:p/>
    <w:sectPr w:rsidR="00FC693F" w:rsidRPr="0006063C" w:rsidSect="00034616">
      <w:footerReference w:type="default" r:id="rId10"/>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RENOP BAUK STAI Haji Agus Salim Cikarang Bekasi TA 2024–2025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